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center"/>
        <w:outlineLvl w:val="1"/>
        <w:rPr>
          <w:rFonts w:hint="eastAsia" w:ascii="仿宋" w:hAnsi="仿宋" w:eastAsia="仿宋" w:cs="仿宋"/>
          <w:b/>
          <w:bCs w:val="0"/>
          <w:sz w:val="28"/>
          <w:szCs w:val="28"/>
          <w:lang w:val="en-US" w:eastAsia="zh-CN"/>
        </w:rPr>
      </w:pPr>
      <w:bookmarkStart w:id="0" w:name="_Toc3984"/>
      <w:r>
        <w:rPr>
          <w:rFonts w:hint="eastAsia" w:ascii="方正小标宋简体" w:hAnsi="方正小标宋简体" w:eastAsia="方正小标宋简体" w:cs="方正小标宋简体"/>
          <w:sz w:val="44"/>
          <w:szCs w:val="44"/>
          <w:highlight w:val="none"/>
          <w:lang w:val="en-US" w:eastAsia="zh-CN"/>
        </w:rPr>
        <w:t>验收内容清单</w:t>
      </w:r>
      <w:bookmarkStart w:id="2" w:name="_GoBack"/>
      <w:bookmarkEnd w:id="2"/>
    </w:p>
    <w:p>
      <w:pPr>
        <w:numPr>
          <w:ilvl w:val="0"/>
          <w:numId w:val="0"/>
        </w:numPr>
        <w:ind w:leftChars="0"/>
        <w:outlineLvl w:val="1"/>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1.文件</w:t>
      </w:r>
      <w:bookmarkEnd w:id="0"/>
      <w:r>
        <w:rPr>
          <w:rFonts w:hint="eastAsia" w:ascii="仿宋" w:hAnsi="仿宋" w:eastAsia="仿宋" w:cs="仿宋"/>
          <w:b/>
          <w:bCs w:val="0"/>
          <w:sz w:val="28"/>
          <w:szCs w:val="28"/>
          <w:lang w:val="en-US" w:eastAsia="zh-CN"/>
        </w:rPr>
        <w:t>检查</w:t>
      </w:r>
    </w:p>
    <w:tbl>
      <w:tblPr>
        <w:tblStyle w:val="4"/>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3687"/>
        <w:gridCol w:w="1186"/>
        <w:gridCol w:w="1012"/>
        <w:gridCol w:w="1012"/>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32" w:type="dxa"/>
            <w:shd w:val="clear" w:color="auto" w:fill="FFFFFF" w:themeFill="background1"/>
            <w:vAlign w:val="center"/>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序号</w:t>
            </w:r>
          </w:p>
        </w:tc>
        <w:tc>
          <w:tcPr>
            <w:tcW w:w="3687" w:type="dxa"/>
            <w:shd w:val="clear" w:color="auto" w:fill="FFFFFF" w:themeFill="background1"/>
            <w:vAlign w:val="center"/>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验收内容</w:t>
            </w:r>
          </w:p>
        </w:tc>
        <w:tc>
          <w:tcPr>
            <w:tcW w:w="1186" w:type="dxa"/>
            <w:shd w:val="clear" w:color="auto" w:fill="FFFFFF" w:themeFill="background1"/>
            <w:vAlign w:val="center"/>
          </w:tcPr>
          <w:p>
            <w:pPr>
              <w:widowControl/>
              <w:jc w:val="center"/>
              <w:rPr>
                <w:rFonts w:hint="eastAsia" w:ascii="仿宋" w:hAnsi="仿宋" w:eastAsia="仿宋" w:cs="仿宋"/>
                <w:b/>
                <w:color w:val="000000"/>
                <w:kern w:val="0"/>
                <w:sz w:val="24"/>
                <w:szCs w:val="24"/>
                <w:lang w:val="en-US" w:eastAsia="zh-CN"/>
              </w:rPr>
            </w:pPr>
            <w:r>
              <w:rPr>
                <w:rFonts w:hint="eastAsia" w:ascii="仿宋" w:hAnsi="仿宋" w:eastAsia="仿宋" w:cs="仿宋"/>
                <w:b/>
                <w:color w:val="000000"/>
                <w:kern w:val="0"/>
                <w:sz w:val="24"/>
                <w:szCs w:val="24"/>
                <w:lang w:val="en-US" w:eastAsia="zh-CN"/>
              </w:rPr>
              <w:t>验收</w:t>
            </w:r>
          </w:p>
          <w:p>
            <w:pPr>
              <w:widowControl/>
              <w:jc w:val="center"/>
              <w:rPr>
                <w:rFonts w:hint="eastAsia" w:ascii="仿宋" w:hAnsi="仿宋" w:eastAsia="仿宋" w:cs="仿宋"/>
                <w:b/>
                <w:color w:val="000000"/>
                <w:kern w:val="0"/>
                <w:sz w:val="24"/>
                <w:szCs w:val="24"/>
                <w:lang w:val="en-US" w:eastAsia="zh-CN"/>
              </w:rPr>
            </w:pPr>
            <w:r>
              <w:rPr>
                <w:rFonts w:hint="eastAsia" w:ascii="仿宋" w:hAnsi="仿宋" w:eastAsia="仿宋" w:cs="仿宋"/>
                <w:b/>
                <w:color w:val="000000"/>
                <w:kern w:val="0"/>
                <w:sz w:val="24"/>
                <w:szCs w:val="24"/>
                <w:lang w:val="en-US" w:eastAsia="zh-CN"/>
              </w:rPr>
              <w:t>单位</w:t>
            </w:r>
          </w:p>
        </w:tc>
        <w:tc>
          <w:tcPr>
            <w:tcW w:w="1012" w:type="dxa"/>
            <w:shd w:val="clear" w:color="auto" w:fill="FFFFFF" w:themeFill="background1"/>
            <w:vAlign w:val="center"/>
          </w:tcPr>
          <w:p>
            <w:pPr>
              <w:widowControl/>
              <w:jc w:val="center"/>
              <w:rPr>
                <w:rFonts w:hint="eastAsia" w:ascii="仿宋" w:hAnsi="仿宋" w:eastAsia="仿宋" w:cs="仿宋"/>
                <w:b/>
                <w:color w:val="000000"/>
                <w:kern w:val="0"/>
                <w:sz w:val="24"/>
                <w:szCs w:val="24"/>
                <w:lang w:val="en-US" w:eastAsia="zh-CN"/>
              </w:rPr>
            </w:pPr>
            <w:r>
              <w:rPr>
                <w:rFonts w:hint="eastAsia" w:ascii="仿宋" w:hAnsi="仿宋" w:eastAsia="仿宋" w:cs="仿宋"/>
                <w:b/>
                <w:color w:val="000000"/>
                <w:kern w:val="0"/>
                <w:sz w:val="24"/>
                <w:szCs w:val="24"/>
                <w:lang w:val="en-US" w:eastAsia="zh-CN"/>
              </w:rPr>
              <w:t>验收人</w:t>
            </w:r>
          </w:p>
        </w:tc>
        <w:tc>
          <w:tcPr>
            <w:tcW w:w="1012" w:type="dxa"/>
            <w:shd w:val="clear" w:color="auto" w:fill="FFFFFF" w:themeFill="background1"/>
            <w:vAlign w:val="center"/>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验收</w:t>
            </w:r>
          </w:p>
          <w:p>
            <w:pPr>
              <w:widowControl/>
              <w:jc w:val="center"/>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rPr>
              <w:t>结果</w:t>
            </w:r>
          </w:p>
        </w:tc>
        <w:tc>
          <w:tcPr>
            <w:tcW w:w="1088" w:type="dxa"/>
            <w:shd w:val="clear" w:color="auto" w:fill="FFFFFF" w:themeFill="background1"/>
            <w:vAlign w:val="center"/>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2"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3687"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按照《电动汽车充换电设施工程施工和竣工验收规范》（NB/T 33004-2013）要求由企业自行完成竣工验收的竣工验收证明文件</w:t>
            </w:r>
          </w:p>
        </w:tc>
        <w:tc>
          <w:tcPr>
            <w:tcW w:w="1186" w:type="dxa"/>
            <w:shd w:val="clear" w:color="auto" w:fill="auto"/>
            <w:vAlign w:val="center"/>
          </w:tcPr>
          <w:p>
            <w:pPr>
              <w:widowControl/>
              <w:jc w:val="center"/>
              <w:rPr>
                <w:rFonts w:hint="eastAsia" w:ascii="仿宋" w:hAnsi="仿宋" w:eastAsia="仿宋" w:cs="仿宋"/>
                <w:color w:val="000000"/>
                <w:kern w:val="0"/>
                <w:sz w:val="24"/>
                <w:szCs w:val="24"/>
                <w:lang w:val="en-US" w:eastAsia="zh-CN"/>
              </w:rPr>
            </w:pP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088"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532"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3687"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充电</w:t>
            </w:r>
            <w:r>
              <w:rPr>
                <w:rFonts w:hint="eastAsia" w:ascii="仿宋" w:hAnsi="仿宋" w:eastAsia="仿宋" w:cs="仿宋"/>
                <w:color w:val="000000"/>
                <w:kern w:val="0"/>
                <w:sz w:val="24"/>
                <w:szCs w:val="24"/>
                <w:lang w:val="en-US" w:eastAsia="zh-CN"/>
              </w:rPr>
              <w:t>基础设施</w:t>
            </w:r>
            <w:r>
              <w:rPr>
                <w:rFonts w:hint="eastAsia" w:ascii="仿宋" w:hAnsi="仿宋" w:eastAsia="仿宋" w:cs="仿宋"/>
                <w:color w:val="000000"/>
                <w:kern w:val="0"/>
                <w:sz w:val="24"/>
                <w:szCs w:val="24"/>
              </w:rPr>
              <w:t>相关的实景照片（至少包括标志性建筑、指引地图、含充电</w:t>
            </w:r>
            <w:r>
              <w:rPr>
                <w:rFonts w:hint="eastAsia" w:ascii="仿宋" w:hAnsi="仿宋" w:eastAsia="仿宋" w:cs="仿宋"/>
                <w:color w:val="000000"/>
                <w:kern w:val="0"/>
                <w:sz w:val="24"/>
                <w:szCs w:val="24"/>
                <w:lang w:val="en-US" w:eastAsia="zh-CN"/>
              </w:rPr>
              <w:t>基础设施</w:t>
            </w:r>
            <w:r>
              <w:rPr>
                <w:rFonts w:hint="eastAsia" w:ascii="仿宋" w:hAnsi="仿宋" w:eastAsia="仿宋" w:cs="仿宋"/>
                <w:color w:val="000000"/>
                <w:kern w:val="0"/>
                <w:sz w:val="24"/>
                <w:szCs w:val="24"/>
              </w:rPr>
              <w:t>的全景</w:t>
            </w:r>
            <w:r>
              <w:rPr>
                <w:rFonts w:hint="eastAsia" w:ascii="仿宋" w:hAnsi="仿宋" w:eastAsia="仿宋" w:cs="仿宋"/>
                <w:color w:val="000000"/>
                <w:kern w:val="0"/>
                <w:sz w:val="24"/>
                <w:szCs w:val="24"/>
                <w:lang w:val="en-US" w:eastAsia="zh-CN"/>
              </w:rPr>
              <w:t>照片</w:t>
            </w:r>
            <w:r>
              <w:rPr>
                <w:rFonts w:hint="eastAsia" w:ascii="仿宋" w:hAnsi="仿宋" w:eastAsia="仿宋" w:cs="仿宋"/>
                <w:color w:val="000000"/>
                <w:kern w:val="0"/>
                <w:sz w:val="24"/>
                <w:szCs w:val="24"/>
              </w:rPr>
              <w:t>）</w:t>
            </w:r>
          </w:p>
        </w:tc>
        <w:tc>
          <w:tcPr>
            <w:tcW w:w="1186" w:type="dxa"/>
            <w:shd w:val="clear" w:color="auto" w:fill="auto"/>
            <w:vAlign w:val="center"/>
          </w:tcPr>
          <w:p>
            <w:pPr>
              <w:widowControl/>
              <w:jc w:val="center"/>
              <w:rPr>
                <w:rFonts w:hint="eastAsia" w:ascii="仿宋" w:hAnsi="仿宋" w:eastAsia="仿宋" w:cs="仿宋"/>
                <w:color w:val="000000"/>
                <w:kern w:val="0"/>
                <w:sz w:val="24"/>
                <w:szCs w:val="24"/>
                <w:lang w:val="en-US" w:eastAsia="zh-CN"/>
              </w:rPr>
            </w:pP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088"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532"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3687"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w:t>
            </w:r>
            <w:r>
              <w:rPr>
                <w:rFonts w:hint="eastAsia" w:ascii="仿宋" w:hAnsi="仿宋" w:eastAsia="仿宋" w:cs="仿宋"/>
                <w:color w:val="000000"/>
                <w:kern w:val="0"/>
                <w:sz w:val="24"/>
                <w:szCs w:val="24"/>
                <w:lang w:val="en-US" w:eastAsia="zh-CN"/>
              </w:rPr>
              <w:t>充电基础设施</w:t>
            </w:r>
            <w:r>
              <w:rPr>
                <w:rFonts w:hint="eastAsia" w:ascii="仿宋" w:hAnsi="仿宋" w:eastAsia="仿宋" w:cs="仿宋"/>
                <w:color w:val="000000"/>
                <w:kern w:val="0"/>
                <w:sz w:val="24"/>
                <w:szCs w:val="24"/>
              </w:rPr>
              <w:t>是否具备国家认监委批准的认证机构出具的产品认证证书</w:t>
            </w:r>
          </w:p>
        </w:tc>
        <w:tc>
          <w:tcPr>
            <w:tcW w:w="1186" w:type="dxa"/>
            <w:shd w:val="clear" w:color="auto" w:fill="auto"/>
            <w:vAlign w:val="center"/>
          </w:tcPr>
          <w:p>
            <w:pPr>
              <w:widowControl/>
              <w:jc w:val="center"/>
              <w:rPr>
                <w:rFonts w:hint="eastAsia" w:ascii="仿宋" w:hAnsi="仿宋" w:eastAsia="仿宋" w:cs="仿宋"/>
                <w:color w:val="000000"/>
                <w:kern w:val="0"/>
                <w:sz w:val="24"/>
                <w:szCs w:val="24"/>
                <w:lang w:val="en-US" w:eastAsia="zh-CN"/>
              </w:rPr>
            </w:pP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088"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532"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3687" w:type="dxa"/>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检查交流充电桩和非车载充电机是否具备充电计量模块或设备的检定证书</w:t>
            </w:r>
          </w:p>
        </w:tc>
        <w:tc>
          <w:tcPr>
            <w:tcW w:w="1186" w:type="dxa"/>
            <w:shd w:val="clear" w:color="auto" w:fill="auto"/>
            <w:vAlign w:val="center"/>
          </w:tcPr>
          <w:p>
            <w:pPr>
              <w:widowControl/>
              <w:jc w:val="center"/>
              <w:rPr>
                <w:rFonts w:hint="eastAsia" w:ascii="仿宋" w:hAnsi="仿宋" w:eastAsia="仿宋" w:cs="仿宋"/>
                <w:color w:val="000000"/>
                <w:kern w:val="0"/>
                <w:sz w:val="24"/>
                <w:szCs w:val="24"/>
                <w:lang w:val="en-US" w:eastAsia="zh-CN"/>
              </w:rPr>
            </w:pP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088" w:type="dxa"/>
            <w:vAlign w:val="center"/>
          </w:tcPr>
          <w:p>
            <w:pPr>
              <w:widowControl/>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32"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3687"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检查充电</w:t>
            </w:r>
            <w:r>
              <w:rPr>
                <w:rFonts w:hint="eastAsia" w:ascii="仿宋" w:hAnsi="仿宋" w:eastAsia="仿宋" w:cs="仿宋"/>
                <w:color w:val="000000"/>
                <w:kern w:val="0"/>
                <w:sz w:val="24"/>
                <w:szCs w:val="24"/>
                <w:lang w:val="en-US" w:eastAsia="zh-CN"/>
              </w:rPr>
              <w:t>基础设施</w:t>
            </w:r>
            <w:r>
              <w:rPr>
                <w:rFonts w:hint="eastAsia" w:ascii="仿宋" w:hAnsi="仿宋" w:eastAsia="仿宋" w:cs="仿宋"/>
                <w:color w:val="000000"/>
                <w:kern w:val="0"/>
                <w:sz w:val="24"/>
                <w:szCs w:val="24"/>
              </w:rPr>
              <w:t>在当地市县政府主管部门备案相关证明文件</w:t>
            </w:r>
          </w:p>
        </w:tc>
        <w:tc>
          <w:tcPr>
            <w:tcW w:w="1186" w:type="dxa"/>
            <w:shd w:val="clear" w:color="auto" w:fill="auto"/>
            <w:vAlign w:val="center"/>
          </w:tcPr>
          <w:p>
            <w:pPr>
              <w:widowControl/>
              <w:jc w:val="center"/>
              <w:rPr>
                <w:rFonts w:hint="eastAsia" w:ascii="仿宋" w:hAnsi="仿宋" w:eastAsia="仿宋" w:cs="仿宋"/>
                <w:color w:val="000000"/>
                <w:kern w:val="0"/>
                <w:sz w:val="24"/>
                <w:szCs w:val="24"/>
                <w:lang w:val="en-US" w:eastAsia="zh-CN"/>
              </w:rPr>
            </w:pP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p>
        </w:tc>
        <w:tc>
          <w:tcPr>
            <w:tcW w:w="1088"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532" w:type="dxa"/>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3687"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检查</w:t>
            </w:r>
            <w:r>
              <w:rPr>
                <w:rFonts w:hint="eastAsia" w:ascii="仿宋" w:hAnsi="仿宋" w:eastAsia="仿宋" w:cs="仿宋"/>
                <w:color w:val="000000"/>
                <w:kern w:val="0"/>
                <w:sz w:val="24"/>
                <w:szCs w:val="24"/>
              </w:rPr>
              <w:t>独立占地</w:t>
            </w:r>
            <w:r>
              <w:rPr>
                <w:rFonts w:hint="eastAsia" w:ascii="仿宋" w:hAnsi="仿宋" w:eastAsia="仿宋" w:cs="仿宋"/>
                <w:color w:val="000000"/>
                <w:kern w:val="0"/>
                <w:sz w:val="24"/>
                <w:szCs w:val="24"/>
                <w:lang w:val="en-US" w:eastAsia="zh-CN"/>
              </w:rPr>
              <w:t>集中式充电站</w:t>
            </w:r>
            <w:r>
              <w:rPr>
                <w:rFonts w:hint="eastAsia" w:ascii="仿宋" w:hAnsi="仿宋" w:eastAsia="仿宋" w:cs="仿宋"/>
                <w:color w:val="000000"/>
                <w:kern w:val="0"/>
                <w:sz w:val="24"/>
                <w:szCs w:val="24"/>
              </w:rPr>
              <w:t>相关用地手续</w:t>
            </w:r>
          </w:p>
        </w:tc>
        <w:tc>
          <w:tcPr>
            <w:tcW w:w="1186" w:type="dxa"/>
            <w:shd w:val="clear" w:color="auto" w:fill="auto"/>
            <w:vAlign w:val="center"/>
          </w:tcPr>
          <w:p>
            <w:pPr>
              <w:widowControl/>
              <w:jc w:val="center"/>
              <w:rPr>
                <w:rFonts w:hint="eastAsia" w:ascii="仿宋" w:hAnsi="仿宋" w:eastAsia="仿宋" w:cs="仿宋"/>
                <w:color w:val="000000"/>
                <w:kern w:val="0"/>
                <w:sz w:val="24"/>
                <w:szCs w:val="24"/>
                <w:lang w:val="en-US" w:eastAsia="zh-CN"/>
              </w:rPr>
            </w:pP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p>
        </w:tc>
        <w:tc>
          <w:tcPr>
            <w:tcW w:w="1088" w:type="dxa"/>
            <w:shd w:val="clear" w:color="auto" w:fill="auto"/>
            <w:vAlign w:val="center"/>
          </w:tcPr>
          <w:p>
            <w:pPr>
              <w:widowControl/>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532" w:type="dxa"/>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w:t>
            </w:r>
          </w:p>
        </w:tc>
        <w:tc>
          <w:tcPr>
            <w:tcW w:w="3687" w:type="dxa"/>
            <w:shd w:val="clear" w:color="auto" w:fill="auto"/>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检查</w:t>
            </w:r>
            <w:r>
              <w:rPr>
                <w:rFonts w:hint="eastAsia" w:ascii="仿宋" w:hAnsi="仿宋" w:eastAsia="仿宋" w:cs="仿宋"/>
                <w:color w:val="000000"/>
                <w:kern w:val="0"/>
                <w:sz w:val="24"/>
                <w:szCs w:val="24"/>
              </w:rPr>
              <w:t>独立占地</w:t>
            </w:r>
            <w:r>
              <w:rPr>
                <w:rFonts w:hint="eastAsia" w:ascii="仿宋" w:hAnsi="仿宋" w:eastAsia="仿宋" w:cs="仿宋"/>
                <w:color w:val="000000"/>
                <w:kern w:val="0"/>
                <w:sz w:val="24"/>
                <w:szCs w:val="24"/>
                <w:lang w:val="en-US" w:eastAsia="zh-CN"/>
              </w:rPr>
              <w:t>集中式充电站</w:t>
            </w:r>
            <w:r>
              <w:rPr>
                <w:rFonts w:hint="eastAsia" w:ascii="仿宋" w:hAnsi="仿宋" w:eastAsia="仿宋" w:cs="仿宋"/>
                <w:color w:val="000000"/>
                <w:kern w:val="0"/>
                <w:sz w:val="24"/>
                <w:szCs w:val="24"/>
              </w:rPr>
              <w:t>建设工程规划许可证等文件</w:t>
            </w:r>
          </w:p>
        </w:tc>
        <w:tc>
          <w:tcPr>
            <w:tcW w:w="1186" w:type="dxa"/>
            <w:shd w:val="clear" w:color="auto" w:fill="auto"/>
            <w:vAlign w:val="center"/>
          </w:tcPr>
          <w:p>
            <w:pPr>
              <w:widowControl/>
              <w:jc w:val="center"/>
              <w:rPr>
                <w:rFonts w:hint="eastAsia" w:ascii="仿宋" w:hAnsi="仿宋" w:eastAsia="仿宋" w:cs="仿宋"/>
                <w:color w:val="000000"/>
                <w:kern w:val="0"/>
                <w:sz w:val="24"/>
                <w:szCs w:val="24"/>
                <w:lang w:val="en-US" w:eastAsia="zh-CN"/>
              </w:rPr>
            </w:pP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p>
        </w:tc>
        <w:tc>
          <w:tcPr>
            <w:tcW w:w="1088" w:type="dxa"/>
            <w:shd w:val="clear" w:color="auto" w:fill="auto"/>
            <w:vAlign w:val="center"/>
          </w:tcPr>
          <w:p>
            <w:pPr>
              <w:widowControl/>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532" w:type="dxa"/>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w:t>
            </w:r>
          </w:p>
        </w:tc>
        <w:tc>
          <w:tcPr>
            <w:tcW w:w="3687"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检查</w:t>
            </w:r>
            <w:r>
              <w:rPr>
                <w:rFonts w:hint="eastAsia" w:ascii="仿宋" w:hAnsi="仿宋" w:eastAsia="仿宋" w:cs="仿宋"/>
                <w:color w:val="000000"/>
                <w:kern w:val="0"/>
                <w:sz w:val="24"/>
                <w:szCs w:val="24"/>
              </w:rPr>
              <w:t>独立占地</w:t>
            </w:r>
            <w:r>
              <w:rPr>
                <w:rFonts w:hint="eastAsia" w:ascii="仿宋" w:hAnsi="仿宋" w:eastAsia="仿宋" w:cs="仿宋"/>
                <w:color w:val="000000"/>
                <w:kern w:val="0"/>
                <w:sz w:val="24"/>
                <w:szCs w:val="24"/>
                <w:lang w:val="en-US" w:eastAsia="zh-CN"/>
              </w:rPr>
              <w:t>集中式充电站</w:t>
            </w:r>
            <w:r>
              <w:rPr>
                <w:rFonts w:hint="eastAsia" w:ascii="仿宋" w:hAnsi="仿宋" w:eastAsia="仿宋" w:cs="仿宋"/>
                <w:color w:val="000000"/>
                <w:kern w:val="0"/>
                <w:sz w:val="24"/>
                <w:szCs w:val="24"/>
              </w:rPr>
              <w:t>施工许可证等文件</w:t>
            </w:r>
          </w:p>
        </w:tc>
        <w:tc>
          <w:tcPr>
            <w:tcW w:w="1186" w:type="dxa"/>
            <w:shd w:val="clear" w:color="auto" w:fill="auto"/>
            <w:vAlign w:val="center"/>
          </w:tcPr>
          <w:p>
            <w:pPr>
              <w:widowControl/>
              <w:jc w:val="center"/>
              <w:rPr>
                <w:rFonts w:hint="eastAsia" w:ascii="仿宋" w:hAnsi="仿宋" w:eastAsia="仿宋" w:cs="仿宋"/>
                <w:color w:val="000000"/>
                <w:kern w:val="0"/>
                <w:sz w:val="24"/>
                <w:szCs w:val="24"/>
                <w:lang w:val="en-US" w:eastAsia="zh-CN"/>
              </w:rPr>
            </w:pP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p>
        </w:tc>
        <w:tc>
          <w:tcPr>
            <w:tcW w:w="1088" w:type="dxa"/>
            <w:shd w:val="clear" w:color="auto" w:fill="auto"/>
            <w:vAlign w:val="center"/>
          </w:tcPr>
          <w:p>
            <w:pPr>
              <w:widowControl/>
              <w:jc w:val="center"/>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532" w:type="dxa"/>
            <w:shd w:val="clear" w:color="auto" w:fill="auto"/>
            <w:vAlign w:val="center"/>
          </w:tcPr>
          <w:p>
            <w:pPr>
              <w:widowControl/>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9</w:t>
            </w:r>
          </w:p>
        </w:tc>
        <w:tc>
          <w:tcPr>
            <w:tcW w:w="3687" w:type="dxa"/>
            <w:shd w:val="clear" w:color="auto" w:fill="auto"/>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检查充电</w:t>
            </w:r>
            <w:r>
              <w:rPr>
                <w:rFonts w:hint="eastAsia" w:ascii="仿宋" w:hAnsi="仿宋" w:eastAsia="仿宋" w:cs="仿宋"/>
                <w:color w:val="000000"/>
                <w:kern w:val="0"/>
                <w:sz w:val="24"/>
                <w:szCs w:val="24"/>
                <w:lang w:val="en-US" w:eastAsia="zh-CN"/>
              </w:rPr>
              <w:t>基础设施</w:t>
            </w:r>
            <w:r>
              <w:rPr>
                <w:rFonts w:hint="eastAsia" w:ascii="仿宋" w:hAnsi="仿宋" w:eastAsia="仿宋" w:cs="仿宋"/>
                <w:color w:val="000000"/>
                <w:kern w:val="0"/>
                <w:sz w:val="24"/>
                <w:szCs w:val="24"/>
              </w:rPr>
              <w:t>由当地电网部门出具的电网接入</w:t>
            </w:r>
            <w:r>
              <w:rPr>
                <w:rFonts w:hint="eastAsia" w:ascii="仿宋" w:hAnsi="仿宋" w:eastAsia="仿宋" w:cs="仿宋"/>
                <w:color w:val="000000"/>
                <w:kern w:val="0"/>
                <w:sz w:val="24"/>
                <w:szCs w:val="24"/>
                <w:lang w:val="en-US" w:eastAsia="zh-CN"/>
              </w:rPr>
              <w:t>相关</w:t>
            </w:r>
            <w:r>
              <w:rPr>
                <w:rFonts w:hint="eastAsia" w:ascii="仿宋" w:hAnsi="仿宋" w:eastAsia="仿宋" w:cs="仿宋"/>
                <w:color w:val="000000"/>
                <w:kern w:val="0"/>
                <w:sz w:val="24"/>
                <w:szCs w:val="24"/>
              </w:rPr>
              <w:t xml:space="preserve">证明文件 </w:t>
            </w:r>
          </w:p>
        </w:tc>
        <w:tc>
          <w:tcPr>
            <w:tcW w:w="1186" w:type="dxa"/>
            <w:shd w:val="clear" w:color="auto" w:fill="auto"/>
            <w:vAlign w:val="center"/>
          </w:tcPr>
          <w:p>
            <w:pPr>
              <w:widowControl/>
              <w:jc w:val="center"/>
              <w:rPr>
                <w:rFonts w:hint="eastAsia" w:ascii="仿宋" w:hAnsi="仿宋" w:eastAsia="仿宋" w:cs="仿宋"/>
                <w:color w:val="000000"/>
                <w:kern w:val="0"/>
                <w:sz w:val="24"/>
                <w:szCs w:val="24"/>
                <w:lang w:val="en-US" w:eastAsia="zh-CN"/>
              </w:rPr>
            </w:pP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088" w:type="dxa"/>
            <w:vAlign w:val="center"/>
          </w:tcPr>
          <w:p>
            <w:pPr>
              <w:widowControl/>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532" w:type="dxa"/>
            <w:shd w:val="clear" w:color="auto" w:fill="auto"/>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3687" w:type="dxa"/>
            <w:shd w:val="clear" w:color="auto" w:fill="auto"/>
            <w:vAlign w:val="center"/>
          </w:tcPr>
          <w:p>
            <w:pPr>
              <w:widowControl/>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检查企业委托的第三方机构资质</w:t>
            </w:r>
          </w:p>
        </w:tc>
        <w:tc>
          <w:tcPr>
            <w:tcW w:w="1186" w:type="dxa"/>
            <w:shd w:val="clear" w:color="auto" w:fill="auto"/>
            <w:vAlign w:val="center"/>
          </w:tcPr>
          <w:p>
            <w:pPr>
              <w:widowControl/>
              <w:jc w:val="center"/>
              <w:rPr>
                <w:rFonts w:hint="default" w:ascii="仿宋" w:hAnsi="仿宋" w:eastAsia="仿宋" w:cs="仿宋"/>
                <w:color w:val="000000"/>
                <w:kern w:val="0"/>
                <w:sz w:val="24"/>
                <w:szCs w:val="24"/>
                <w:lang w:val="en-US" w:eastAsia="zh-CN"/>
              </w:rPr>
            </w:pP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p>
        </w:tc>
        <w:tc>
          <w:tcPr>
            <w:tcW w:w="1012" w:type="dxa"/>
            <w:shd w:val="clear" w:color="auto" w:fill="auto"/>
            <w:vAlign w:val="center"/>
          </w:tcPr>
          <w:p>
            <w:pPr>
              <w:widowControl/>
              <w:jc w:val="center"/>
              <w:rPr>
                <w:rFonts w:hint="eastAsia" w:ascii="仿宋" w:hAnsi="仿宋" w:eastAsia="仿宋" w:cs="仿宋"/>
                <w:color w:val="000000"/>
                <w:kern w:val="0"/>
                <w:sz w:val="24"/>
                <w:szCs w:val="24"/>
              </w:rPr>
            </w:pPr>
          </w:p>
        </w:tc>
        <w:tc>
          <w:tcPr>
            <w:tcW w:w="1088" w:type="dxa"/>
            <w:vAlign w:val="center"/>
          </w:tcPr>
          <w:p>
            <w:pPr>
              <w:widowControl/>
              <w:jc w:val="left"/>
              <w:rPr>
                <w:rFonts w:hint="eastAsia" w:ascii="仿宋" w:hAnsi="仿宋" w:eastAsia="仿宋" w:cs="仿宋"/>
                <w:color w:val="000000"/>
                <w:kern w:val="0"/>
                <w:sz w:val="24"/>
                <w:szCs w:val="24"/>
              </w:rPr>
            </w:pPr>
          </w:p>
        </w:tc>
      </w:tr>
    </w:tbl>
    <w:p>
      <w:pPr>
        <w:rPr>
          <w:rFonts w:hint="eastAsia"/>
        </w:rPr>
      </w:pPr>
    </w:p>
    <w:p>
      <w:pPr>
        <w:pStyle w:val="3"/>
        <w:rPr>
          <w:rFonts w:hint="eastAsia" w:ascii="仿宋" w:hAnsi="仿宋" w:eastAsia="仿宋" w:cs="仿宋"/>
          <w:b/>
          <w:bCs/>
          <w:sz w:val="32"/>
          <w:szCs w:val="24"/>
          <w:u w:val="none"/>
          <w:lang w:val="en-US" w:eastAsia="zh-CN"/>
        </w:rPr>
      </w:pPr>
      <w:bookmarkStart w:id="1" w:name="_Toc8578"/>
      <w:r>
        <w:rPr>
          <w:rFonts w:hint="eastAsia" w:ascii="仿宋" w:hAnsi="仿宋" w:eastAsia="仿宋" w:cs="仿宋"/>
          <w:b/>
          <w:bCs/>
          <w:sz w:val="28"/>
          <w:szCs w:val="22"/>
          <w:u w:val="none"/>
          <w:lang w:val="en-US" w:eastAsia="zh-CN"/>
        </w:rPr>
        <w:t>2.</w:t>
      </w:r>
      <w:r>
        <w:rPr>
          <w:rFonts w:hint="eastAsia" w:ascii="仿宋" w:hAnsi="仿宋" w:eastAsia="仿宋" w:cs="仿宋"/>
          <w:b/>
          <w:bCs/>
          <w:sz w:val="28"/>
          <w:szCs w:val="22"/>
          <w:u w:val="none"/>
        </w:rPr>
        <w:t>现场</w:t>
      </w:r>
      <w:bookmarkEnd w:id="1"/>
      <w:r>
        <w:rPr>
          <w:rFonts w:hint="eastAsia" w:ascii="仿宋" w:hAnsi="仿宋" w:eastAsia="仿宋" w:cs="仿宋"/>
          <w:b/>
          <w:bCs/>
          <w:sz w:val="28"/>
          <w:szCs w:val="22"/>
          <w:u w:val="none"/>
          <w:lang w:val="en-US" w:eastAsia="zh-CN"/>
        </w:rPr>
        <w:t>检查</w:t>
      </w:r>
    </w:p>
    <w:tbl>
      <w:tblPr>
        <w:tblStyle w:val="4"/>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5238"/>
        <w:gridCol w:w="1275"/>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11" w:type="dxa"/>
            <w:shd w:val="clear" w:color="auto" w:fill="FFFFFF" w:themeFill="background1"/>
            <w:vAlign w:val="center"/>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序号</w:t>
            </w:r>
          </w:p>
        </w:tc>
        <w:tc>
          <w:tcPr>
            <w:tcW w:w="5238" w:type="dxa"/>
            <w:shd w:val="clear" w:color="auto" w:fill="FFFFFF" w:themeFill="background1"/>
            <w:vAlign w:val="center"/>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验收内容</w:t>
            </w:r>
          </w:p>
        </w:tc>
        <w:tc>
          <w:tcPr>
            <w:tcW w:w="1275" w:type="dxa"/>
            <w:shd w:val="clear" w:color="auto" w:fill="FFFFFF" w:themeFill="background1"/>
            <w:vAlign w:val="center"/>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验收结果</w:t>
            </w:r>
          </w:p>
        </w:tc>
        <w:tc>
          <w:tcPr>
            <w:tcW w:w="1895" w:type="dxa"/>
            <w:shd w:val="clear" w:color="auto" w:fill="FFFFFF" w:themeFill="background1"/>
            <w:vAlign w:val="center"/>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019" w:type="dxa"/>
            <w:gridSpan w:val="4"/>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b/>
                <w:bCs/>
                <w:color w:val="000000"/>
                <w:kern w:val="0"/>
                <w:sz w:val="24"/>
                <w:szCs w:val="24"/>
                <w:lang w:val="en-US" w:eastAsia="zh-CN"/>
              </w:rPr>
              <w:t>第三方机构检查内容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019" w:type="dxa"/>
            <w:gridSpan w:val="4"/>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一、选址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充电基础设施不应设在有爆炸或火灾危险的地方。当与有爆炸或火灾危险的建筑物毗连时，应符合现行国家标准《爆炸危险环境电力装置设计规范》GB 50058 的规定。</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充电基础设施不应设在易积水的场所；充电设备不宜设在厕所、浴室、厨房或其他经常积水场所的正下方，如因条件限制必须设在上述场所时，应采取预防渗漏水和排水的措施或选用相应防护等级的设施。</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充电基础设施不应设在有剧烈振动或高温的场所。</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充电基础设施的选址应满足通信要求，宜选在有公用通信网络覆盖的区域。</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019" w:type="dxa"/>
            <w:gridSpan w:val="4"/>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二、充电设备的布置与标识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充电设备的布置和使用不应妨碍车辆和行人的正常通行。</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室外充电设备外壳应采用不锈钢、铝合金和其他适合沿海地区使用的防腐蚀材料。</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7</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设备外壳防护等级符合国标要求。</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充电基础设施应在醒目位置设置易于辨认和耐久的安全警告标志或警句、消防安全标志。高压、非工作人员禁入区域要有安全警告标识。</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室内设置充电设备的区域宜采用自然通风，当自然通风不满足要求时，应采用机械通风或复合通风。通风管道应采用不燃材料制作。</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带有充电设备的停车位充电侧应设置车挡石或车挡拦杆。</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019" w:type="dxa"/>
            <w:gridSpan w:val="4"/>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三、设备性能要求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11</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未与充电车辆连接时，充电接口不带危险电压。</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12</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拔枪后，充电接口危险电压泄放时间不超过1s。</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13</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模拟对地绝缘故障发生时，直流充电桩响应保护措施。</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14</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模拟BMS发送故障报文（过温、过流、过压），直流充电机响应、不能继续充电。</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15</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模拟漏电情况发生时，有漏电保护装置动作（或有漏电保护装置）。</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16</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接地连续性完好，接地回路阻抗符合要求（含柜门未接地等）。</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17</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用户通过设备通风孔等开孔不能接触到内部危险带电部件。</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18</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直流充电机充电时有过流保护断路器动作。</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19</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充电机内部导电部位覆盖没有潮湿物或铁屑等导电物。</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20</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正常充电时，没有漏电保护装置动作（说明未处于漏电状态）。</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21</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启动急停装置时，设备能切断电源输入。</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22</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配电柜或充电设备内部配线整齐、可靠固定。</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23</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配电设备外部有安全警告标识。</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24</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配电柜或设备内部，中性点、地线接线点等有标识。</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w:t>
            </w:r>
          </w:p>
        </w:tc>
        <w:tc>
          <w:tcPr>
            <w:tcW w:w="189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25</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配电回路断路器等器件额定电流容量大小满足要求。</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w:t>
            </w: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26</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交流充电桩电气回路安装A型或以上规格漏电保护装置。</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w:t>
            </w: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27</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外壳防护无破损（含开口处进行有效封堵）。</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28</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配电柜或其他设备内部电气关键连接点未有锈蚀迹象。</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29</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电气设备内部、外部周边应无易燃或导电杂物、垃圾。</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30</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屏幕应无损坏。</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31</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二维码应完好、未有损坏。</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32</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枪头应未有损坏。</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33</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充电设备应能正常通电。</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34</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充电基础设施位置准确性（经纬度准确性）。</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35</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充电基础设施图片是否与现场情况一致。</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36</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充电基础设施收费信息准确性（电费、服务费、停车费）。</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37</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充电基础设施信息一致性（数量、交直流类型、充电设备/接口编码等与接入省平台信息的一致性）。</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38</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充电设备功率信息准确性（充电设备额定功率）。</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39</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订单信息抽检（实际发生充电量信息与订单时间信息的一致性）。</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019" w:type="dxa"/>
            <w:gridSpan w:val="4"/>
            <w:shd w:val="clear" w:color="auto" w:fill="auto"/>
            <w:vAlign w:val="center"/>
          </w:tcPr>
          <w:p>
            <w:pPr>
              <w:widowControl/>
              <w:jc w:val="left"/>
              <w:rPr>
                <w:rFonts w:hint="default" w:ascii="仿宋" w:hAnsi="仿宋" w:eastAsia="仿宋" w:cs="仿宋"/>
                <w:color w:val="000000"/>
                <w:kern w:val="0"/>
                <w:sz w:val="24"/>
                <w:szCs w:val="24"/>
                <w:lang w:val="en-US" w:eastAsia="zh-CN"/>
              </w:rPr>
            </w:pPr>
            <w:r>
              <w:rPr>
                <w:rFonts w:hint="eastAsia" w:ascii="仿宋" w:hAnsi="仿宋" w:eastAsia="仿宋" w:cs="仿宋"/>
                <w:b/>
                <w:bCs/>
                <w:color w:val="000000"/>
                <w:kern w:val="0"/>
                <w:sz w:val="24"/>
                <w:szCs w:val="24"/>
                <w:lang w:val="en-US" w:eastAsia="zh-CN"/>
              </w:rPr>
              <w:t>消防部门检查内容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40</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地下、半地下和高层汽车库内配建充电设施时，应设置火灾自动报警系统、电气火灾监控系统、防烟排烟系统、消防给水系统、自动喷水灭火系统、消防应急照明和疏散指示系统。</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41</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充电基础设施的管线在穿越建筑外墙、防火墙、防火隔墙、楼板后留下的孔隙，应采用防火材料进行封堵。</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11"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42</w:t>
            </w:r>
          </w:p>
        </w:tc>
        <w:tc>
          <w:tcPr>
            <w:tcW w:w="5238" w:type="dxa"/>
            <w:shd w:val="clear" w:color="auto" w:fill="auto"/>
            <w:vAlign w:val="center"/>
          </w:tcPr>
          <w:p>
            <w:pPr>
              <w:widowControl/>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充电基础设施不应设置在停车场的出入口，不应影响消防车辆通行。</w:t>
            </w:r>
          </w:p>
        </w:tc>
        <w:tc>
          <w:tcPr>
            <w:tcW w:w="1275" w:type="dxa"/>
            <w:shd w:val="clear" w:color="auto" w:fill="auto"/>
            <w:vAlign w:val="center"/>
          </w:tcPr>
          <w:p>
            <w:pPr>
              <w:widowControl/>
              <w:jc w:val="left"/>
              <w:rPr>
                <w:rFonts w:hint="eastAsia" w:ascii="仿宋" w:hAnsi="仿宋" w:eastAsia="仿宋" w:cs="仿宋"/>
                <w:color w:val="000000"/>
                <w:kern w:val="0"/>
                <w:sz w:val="24"/>
                <w:szCs w:val="24"/>
                <w:lang w:val="en-US" w:eastAsia="zh-CN"/>
              </w:rPr>
            </w:pPr>
          </w:p>
        </w:tc>
        <w:tc>
          <w:tcPr>
            <w:tcW w:w="1895" w:type="dxa"/>
            <w:vAlign w:val="center"/>
          </w:tcPr>
          <w:p>
            <w:pPr>
              <w:widowControl/>
              <w:jc w:val="left"/>
              <w:rPr>
                <w:rFonts w:hint="eastAsia" w:ascii="仿宋" w:hAnsi="仿宋" w:eastAsia="仿宋" w:cs="仿宋"/>
                <w:color w:val="000000"/>
                <w:kern w:val="0"/>
                <w:sz w:val="24"/>
                <w:szCs w:val="24"/>
                <w:lang w:val="en-US" w:eastAsia="zh-CN"/>
              </w:rPr>
            </w:pPr>
          </w:p>
        </w:tc>
      </w:tr>
    </w:tbl>
    <w:p>
      <w:pPr>
        <w:widowControl/>
        <w:jc w:val="left"/>
        <w:rPr>
          <w:rFonts w:ascii="宋体" w:hAnsi="宋体" w:eastAsia="宋体" w:cs="仿宋"/>
          <w:color w:val="343334"/>
          <w:spacing w:val="-3"/>
          <w:kern w:val="0"/>
          <w:sz w:val="21"/>
          <w:szCs w:val="21"/>
          <w:lang w:val="en-US" w:eastAsia="zh-CN" w:bidi="ar-SA"/>
        </w:rPr>
      </w:pPr>
    </w:p>
    <w:p>
      <w:pPr>
        <w:jc w:val="center"/>
        <w:outlineLvl w:val="1"/>
        <w:rPr>
          <w:rFonts w:hint="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247445"/>
    <w:rsid w:val="67CB18A2"/>
    <w:rsid w:val="6B8E27CE"/>
    <w:rsid w:val="6BFFF876"/>
    <w:rsid w:val="E7F7D391"/>
    <w:rsid w:val="FEA98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outlineLvl w:val="0"/>
    </w:pPr>
    <w:rPr>
      <w:rFonts w:ascii="黑体" w:hAnsi="黑体" w:eastAsia="黑体"/>
      <w:sz w:val="24"/>
      <w:u w:val="wave"/>
    </w:rPr>
  </w:style>
  <w:style w:type="paragraph" w:styleId="3">
    <w:name w:val="heading 2"/>
    <w:basedOn w:val="2"/>
    <w:next w:val="1"/>
    <w:unhideWhenUsed/>
    <w:qFormat/>
    <w:uiPriority w:val="9"/>
    <w:pPr>
      <w:snapToGrid w:val="0"/>
      <w:spacing w:line="360" w:lineRule="auto"/>
      <w:outlineLvl w:val="1"/>
    </w:pPr>
    <w:rPr>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176</TotalTime>
  <ScaleCrop>false</ScaleCrop>
  <LinksUpToDate>false</LinksUpToDate>
  <CharactersWithSpaces>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2021-05-13T00:58:00Z</dcterms:created>
  <dc:creator>Administrator.USER-20200302KM</dc:creator>
  <cp:lastModifiedBy>lenovo</cp:lastModifiedBy>
  <dcterms:modified xsi:type="dcterms:W3CDTF">2024-05-11T17:25:07Z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62AE3F81C8557B1F5C393F663053E8AF</vt:lpwstr>
  </property>
</Properties>
</file>