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line="420" w:lineRule="atLeast"/>
        <w:ind w:left="0" w:right="0" w:firstLine="180"/>
        <w:jc w:val="center"/>
        <w:rPr>
          <w:rFonts w:hint="eastAsia" w:ascii="宋体" w:hAnsi="宋体" w:eastAsia="宋体" w:cs="宋体"/>
          <w:kern w:val="0"/>
          <w:sz w:val="24"/>
          <w:szCs w:val="24"/>
        </w:rPr>
      </w:pPr>
      <w:r>
        <w:rPr>
          <w:rStyle w:val="6"/>
          <w:rFonts w:hint="default" w:ascii="宋体" w:hAnsi="宋体" w:eastAsia="宋体" w:cs="宋体"/>
          <w:b/>
          <w:sz w:val="34"/>
          <w:szCs w:val="34"/>
          <w:lang w:val="en-US" w:eastAsia="zh-CN" w:bidi="ar"/>
        </w:rPr>
        <w:t>规划编制与课题研究</w:t>
      </w:r>
      <w:r>
        <w:rPr>
          <w:rStyle w:val="6"/>
          <w:rFonts w:hint="eastAsia" w:ascii="宋体" w:hAnsi="宋体" w:eastAsia="宋体" w:cs="宋体"/>
          <w:b/>
          <w:sz w:val="34"/>
          <w:szCs w:val="34"/>
          <w:lang w:val="en-US" w:eastAsia="zh-CN" w:bidi="ar"/>
        </w:rPr>
        <w:t>项目支出绩效自评报告</w:t>
      </w:r>
      <w:r>
        <w:rPr>
          <w:rStyle w:val="6"/>
          <w:rFonts w:hint="default" w:ascii="Times New Roman" w:hAnsi="Times New Roman" w:eastAsia="宋体" w:cs="Times New Roman"/>
          <w:b/>
          <w:sz w:val="24"/>
          <w:szCs w:val="24"/>
          <w:lang w:val="en-US" w:eastAsia="zh-CN" w:bidi="ar"/>
        </w:rPr>
        <w:t xml:space="preserve"> </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一、项目概况    </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（一）项目基本情况：立项情况、实施主体项目、资金及主要内容  </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预算单位 </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 xml:space="preserve">海口市发展和改革委员会 </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目</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 xml:space="preserve"> 规划编制与课题研究</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主管部门</w:t>
      </w:r>
      <w:r>
        <w:rPr>
          <w:rFonts w:hint="eastAsia" w:ascii="仿宋_GB2312" w:hAnsi="仿宋_GB2312" w:eastAsia="仿宋_GB2312" w:cs="仿宋_GB2312"/>
          <w:kern w:val="0"/>
          <w:sz w:val="32"/>
          <w:szCs w:val="32"/>
          <w:lang w:val="en-US" w:eastAsia="zh-CN" w:bidi="ar"/>
        </w:rPr>
        <w:t xml:space="preserve">  </w:t>
      </w:r>
      <w:r>
        <w:rPr>
          <w:rFonts w:hint="default" w:ascii="仿宋_GB2312" w:hAnsi="仿宋_GB2312" w:eastAsia="仿宋_GB2312" w:cs="仿宋_GB2312"/>
          <w:kern w:val="0"/>
          <w:sz w:val="32"/>
          <w:szCs w:val="32"/>
          <w:lang w:val="en-US" w:eastAsia="zh-CN" w:bidi="ar"/>
        </w:rPr>
        <w:t>海口市发展和改革委员会</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项目负责人为：</w:t>
      </w:r>
      <w:r>
        <w:rPr>
          <w:rFonts w:hint="eastAsia" w:ascii="仿宋_GB2312" w:hAnsi="仿宋_GB2312" w:eastAsia="仿宋_GB2312" w:cs="仿宋_GB2312"/>
          <w:kern w:val="0"/>
          <w:sz w:val="32"/>
          <w:szCs w:val="32"/>
          <w:lang w:val="en-US" w:eastAsia="zh-CN" w:bidi="ar"/>
        </w:rPr>
        <w:t>吴奕琏、玉洪卓、吴妙瑜</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联系电话：</w:t>
      </w:r>
      <w:r>
        <w:rPr>
          <w:rFonts w:hint="eastAsia" w:ascii="仿宋_GB2312" w:hAnsi="仿宋_GB2312" w:eastAsia="仿宋_GB2312" w:cs="仿宋_GB2312"/>
          <w:kern w:val="0"/>
          <w:sz w:val="32"/>
          <w:szCs w:val="32"/>
          <w:lang w:val="en-US" w:eastAsia="zh-CN" w:bidi="ar"/>
        </w:rPr>
        <w:t>68625707</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项目概述如下：拟开展课题研究报告，经专家评审组对研究报告进行评议，最后取得研究报告成果。   </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（二）项目年度预算绩效目标和绩效指标设定情况  </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总体目标：编制规划并协调实施和进行监测评估，开展研究课题并形成结果。　</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202</w:t>
      </w:r>
      <w:r>
        <w:rPr>
          <w:rFonts w:hint="eastAsia" w:ascii="仿宋_GB2312" w:hAnsi="仿宋_GB2312" w:eastAsia="仿宋_GB2312" w:cs="仿宋_GB2312"/>
          <w:kern w:val="0"/>
          <w:sz w:val="32"/>
          <w:szCs w:val="32"/>
          <w:lang w:val="en-US" w:eastAsia="zh-CN" w:bidi="ar"/>
        </w:rPr>
        <w:t>3</w:t>
      </w:r>
      <w:r>
        <w:rPr>
          <w:rFonts w:hint="default" w:ascii="仿宋_GB2312" w:hAnsi="仿宋_GB2312" w:eastAsia="仿宋_GB2312" w:cs="仿宋_GB2312"/>
          <w:kern w:val="0"/>
          <w:sz w:val="32"/>
          <w:szCs w:val="32"/>
          <w:lang w:val="en-US" w:eastAsia="zh-CN" w:bidi="ar"/>
        </w:rPr>
        <w:t>年年度目标是编制规划并协调实施和进行监测评估，开展研究课题并形成结果。　</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当年年度目标完成情况：</w:t>
      </w:r>
      <w:r>
        <w:rPr>
          <w:rFonts w:hint="eastAsia" w:ascii="仿宋_GB2312" w:hAnsi="仿宋_GB2312" w:eastAsia="仿宋_GB2312" w:cs="仿宋_GB2312"/>
          <w:kern w:val="0"/>
          <w:sz w:val="32"/>
          <w:szCs w:val="32"/>
          <w:lang w:val="en-US" w:eastAsia="zh-CN" w:bidi="ar"/>
        </w:rPr>
        <w:t>及时拨付规划编制与课题研究费用。</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二、项目决策及资金使用管理情况</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（一）项目决策情况（包括决策过程和结果）</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我委在项目决策、项目管理、项目使用上合理安排，资金管理、费用支出制度健全，项目资金严格按照预算使用，会计核算规范。项目绩效良好。</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（二）项目资金（包括财政资金、自筹资金等）安排落实、总投入等情况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预算情况如下：</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资金总额-年初预算数7700000元，资金总额-全年预算数</w:t>
      </w:r>
      <w:r>
        <w:rPr>
          <w:rFonts w:hint="eastAsia" w:ascii="仿宋_GB2312" w:hAnsi="仿宋_GB2312" w:eastAsia="仿宋_GB2312" w:cs="仿宋_GB2312"/>
          <w:kern w:val="0"/>
          <w:sz w:val="32"/>
          <w:szCs w:val="32"/>
          <w:lang w:val="en-US" w:eastAsia="zh-CN" w:bidi="ar"/>
        </w:rPr>
        <w:t>3385400</w:t>
      </w:r>
      <w:r>
        <w:rPr>
          <w:rFonts w:hint="default" w:ascii="仿宋_GB2312" w:hAnsi="仿宋_GB2312" w:eastAsia="仿宋_GB2312" w:cs="仿宋_GB2312"/>
          <w:kern w:val="0"/>
          <w:sz w:val="32"/>
          <w:szCs w:val="32"/>
          <w:lang w:val="en-US" w:eastAsia="zh-CN" w:bidi="ar"/>
        </w:rPr>
        <w:t>元，财政资金-年初预算数</w:t>
      </w:r>
      <w:r>
        <w:rPr>
          <w:rFonts w:hint="eastAsia" w:ascii="仿宋_GB2312" w:hAnsi="仿宋_GB2312" w:eastAsia="仿宋_GB2312" w:cs="仿宋_GB2312"/>
          <w:kern w:val="0"/>
          <w:sz w:val="32"/>
          <w:szCs w:val="32"/>
          <w:lang w:val="en-US" w:eastAsia="zh-CN" w:bidi="ar"/>
        </w:rPr>
        <w:t>7700000</w:t>
      </w:r>
      <w:r>
        <w:rPr>
          <w:rFonts w:hint="default" w:ascii="仿宋_GB2312" w:hAnsi="仿宋_GB2312" w:eastAsia="仿宋_GB2312" w:cs="仿宋_GB2312"/>
          <w:kern w:val="0"/>
          <w:sz w:val="32"/>
          <w:szCs w:val="32"/>
          <w:lang w:val="en-US" w:eastAsia="zh-CN" w:bidi="ar"/>
        </w:rPr>
        <w:t>元财政资金-全年预算数</w:t>
      </w:r>
      <w:r>
        <w:rPr>
          <w:rFonts w:hint="eastAsia" w:ascii="仿宋_GB2312" w:hAnsi="仿宋_GB2312" w:eastAsia="仿宋_GB2312" w:cs="仿宋_GB2312"/>
          <w:kern w:val="0"/>
          <w:sz w:val="32"/>
          <w:szCs w:val="32"/>
          <w:lang w:val="en-US" w:eastAsia="zh-CN" w:bidi="ar"/>
        </w:rPr>
        <w:t>3385400</w:t>
      </w:r>
      <w:r>
        <w:rPr>
          <w:rFonts w:hint="default" w:ascii="仿宋_GB2312" w:hAnsi="仿宋_GB2312" w:eastAsia="仿宋_GB2312" w:cs="仿宋_GB2312"/>
          <w:kern w:val="0"/>
          <w:sz w:val="32"/>
          <w:szCs w:val="32"/>
          <w:lang w:val="en-US" w:eastAsia="zh-CN" w:bidi="ar"/>
        </w:rPr>
        <w:t>元，专户-年初预算数0元，专户全年预算数0元，单位年初预算数0元，单位全年预算数0元。</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（三）项目资金（主要是指财政资金）实际使用情况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资金执行情况如下：资金总额-全年执行数3170656元，资金总额-执行率</w:t>
      </w:r>
      <w:r>
        <w:rPr>
          <w:rFonts w:hint="eastAsia" w:ascii="仿宋_GB2312" w:hAnsi="仿宋_GB2312" w:eastAsia="仿宋_GB2312" w:cs="仿宋_GB2312"/>
          <w:kern w:val="0"/>
          <w:sz w:val="32"/>
          <w:szCs w:val="32"/>
          <w:lang w:val="en-US" w:eastAsia="zh-CN" w:bidi="ar"/>
        </w:rPr>
        <w:t>93.66%</w:t>
      </w:r>
      <w:r>
        <w:rPr>
          <w:rFonts w:hint="default" w:ascii="仿宋_GB2312" w:hAnsi="仿宋_GB2312" w:eastAsia="仿宋_GB2312" w:cs="仿宋_GB2312"/>
          <w:kern w:val="0"/>
          <w:sz w:val="32"/>
          <w:szCs w:val="32"/>
          <w:lang w:val="en-US" w:eastAsia="zh-CN" w:bidi="ar"/>
        </w:rPr>
        <w:t>元</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其中：财政资金-全年执行数3170656元，财政资金-执行率</w:t>
      </w:r>
      <w:r>
        <w:rPr>
          <w:rFonts w:hint="eastAsia" w:ascii="仿宋_GB2312" w:hAnsi="仿宋_GB2312" w:eastAsia="仿宋_GB2312" w:cs="仿宋_GB2312"/>
          <w:kern w:val="0"/>
          <w:sz w:val="32"/>
          <w:szCs w:val="32"/>
          <w:lang w:val="en-US" w:eastAsia="zh-CN" w:bidi="ar"/>
        </w:rPr>
        <w:t>93.66%，</w:t>
      </w:r>
      <w:r>
        <w:rPr>
          <w:rFonts w:hint="default" w:ascii="仿宋_GB2312" w:hAnsi="仿宋_GB2312" w:eastAsia="仿宋_GB2312" w:cs="仿宋_GB2312"/>
          <w:kern w:val="0"/>
          <w:sz w:val="32"/>
          <w:szCs w:val="32"/>
          <w:lang w:val="en-US" w:eastAsia="zh-CN" w:bidi="ar"/>
        </w:rPr>
        <w:t>专户全年执行数0元，专户-执行率</w:t>
      </w:r>
      <w:r>
        <w:rPr>
          <w:rFonts w:hint="eastAsia" w:ascii="仿宋_GB2312" w:hAnsi="仿宋_GB2312" w:eastAsia="仿宋_GB2312" w:cs="仿宋_GB2312"/>
          <w:kern w:val="0"/>
          <w:sz w:val="32"/>
          <w:szCs w:val="32"/>
          <w:lang w:val="en-US" w:eastAsia="zh-CN" w:bidi="ar"/>
        </w:rPr>
        <w:t>0，</w:t>
      </w:r>
      <w:r>
        <w:rPr>
          <w:rFonts w:hint="default" w:ascii="仿宋_GB2312" w:hAnsi="仿宋_GB2312" w:eastAsia="仿宋_GB2312" w:cs="仿宋_GB2312"/>
          <w:kern w:val="0"/>
          <w:sz w:val="32"/>
          <w:szCs w:val="32"/>
          <w:lang w:val="en-US" w:eastAsia="zh-CN" w:bidi="ar"/>
        </w:rPr>
        <w:t>单位全年执行数0元，单位全年执行率</w:t>
      </w:r>
      <w:r>
        <w:rPr>
          <w:rFonts w:hint="eastAsia" w:ascii="仿宋_GB2312" w:hAnsi="仿宋_GB2312" w:eastAsia="仿宋_GB2312" w:cs="仿宋_GB2312"/>
          <w:kern w:val="0"/>
          <w:sz w:val="32"/>
          <w:szCs w:val="32"/>
          <w:lang w:val="en-US" w:eastAsia="zh-CN" w:bidi="ar"/>
        </w:rPr>
        <w:t>0.00%</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项目资金管理情况（包括管理制度、办法的制订及执行情况）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2023年，我委在课题经费方面积极探索完善项目管理的有效机制，不断完善管理制度，形成了一套行之有效的资金和项目管理体系。保证了我委各种课题费用项目的安全有效运行，确保了各项目顺利实施，取得了明显的效果。项目资金拨付严格审批程序，使用规范，会计核算结果真实、准确。无虚列项目支出、截留挤占挪用、超标准开支、无超预算等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三、项目组织实施情况</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（一）项目组织情况（包括项目招投标情况、调整情况、完成验收等）</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按照市委、市政府的工作部署，我委严格执行关于课题质量可行性研究课题。实施过程都是按照《市发改委机关财务管理规定》等相关财务规章制度来执行。按规定使用资金，保障市发改委规划编制与课题研究工作有条不紊的开展。</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项目管理情况（包括项目管理制度建设、日常检查监督等情况）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根据国家和省市相关规定，对项目经费的使用制定了管理办法，不断加强财务管理内控制度，进一步完善经费管理规定。项目业务由业务处室组织实施，资金支出由办公室统筹办理，不以任何理由虚列、挪用资金支出严格按照财务管理规定执行。</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四、项目绩效情况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（一）项目绩效目标完成情况分析。</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 项目的经济性分析</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（1）项目成本（预算）控制情况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2023年财政预算安排规划编制与课题研究项目资金</w:t>
      </w:r>
      <w:r>
        <w:rPr>
          <w:rFonts w:hint="default" w:ascii="仿宋_GB2312" w:hAnsi="仿宋_GB2312" w:eastAsia="仿宋_GB2312" w:cs="仿宋_GB2312"/>
          <w:kern w:val="0"/>
          <w:sz w:val="32"/>
          <w:szCs w:val="32"/>
          <w:lang w:val="en-US" w:eastAsia="zh-CN" w:bidi="ar"/>
        </w:rPr>
        <w:t>全年预算数</w:t>
      </w:r>
      <w:r>
        <w:rPr>
          <w:rFonts w:hint="eastAsia" w:ascii="仿宋_GB2312" w:hAnsi="仿宋_GB2312" w:eastAsia="仿宋_GB2312" w:cs="仿宋_GB2312"/>
          <w:kern w:val="0"/>
          <w:sz w:val="32"/>
          <w:szCs w:val="32"/>
          <w:lang w:val="en-US" w:eastAsia="zh-CN" w:bidi="ar"/>
        </w:rPr>
        <w:t>3385400</w:t>
      </w:r>
      <w:r>
        <w:rPr>
          <w:rFonts w:hint="default" w:ascii="仿宋_GB2312" w:hAnsi="仿宋_GB2312" w:eastAsia="仿宋_GB2312" w:cs="仿宋_GB2312"/>
          <w:kern w:val="0"/>
          <w:sz w:val="32"/>
          <w:szCs w:val="32"/>
          <w:lang w:val="en-US" w:eastAsia="zh-CN" w:bidi="ar"/>
        </w:rPr>
        <w:t>元，</w:t>
      </w:r>
      <w:r>
        <w:rPr>
          <w:rFonts w:hint="eastAsia" w:ascii="仿宋_GB2312" w:hAnsi="仿宋_GB2312" w:eastAsia="仿宋_GB2312" w:cs="仿宋_GB2312"/>
          <w:kern w:val="0"/>
          <w:sz w:val="32"/>
          <w:szCs w:val="32"/>
          <w:lang w:val="en-US" w:eastAsia="zh-CN" w:bidi="ar"/>
        </w:rPr>
        <w:t>实际使用资金</w:t>
      </w:r>
      <w:r>
        <w:rPr>
          <w:rFonts w:hint="default" w:ascii="仿宋_GB2312" w:hAnsi="仿宋_GB2312" w:eastAsia="仿宋_GB2312" w:cs="仿宋_GB2312"/>
          <w:kern w:val="0"/>
          <w:sz w:val="32"/>
          <w:szCs w:val="32"/>
          <w:lang w:val="en-US" w:eastAsia="zh-CN" w:bidi="ar"/>
        </w:rPr>
        <w:t>3170656元</w:t>
      </w:r>
      <w:r>
        <w:rPr>
          <w:rFonts w:hint="eastAsia" w:ascii="仿宋_GB2312" w:hAnsi="仿宋_GB2312" w:eastAsia="仿宋_GB2312" w:cs="仿宋_GB2312"/>
          <w:kern w:val="0"/>
          <w:sz w:val="32"/>
          <w:szCs w:val="32"/>
          <w:lang w:val="en-US" w:eastAsia="zh-CN" w:bidi="ar"/>
        </w:rPr>
        <w:t>，完成进度93.66%，无超预算情况。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项目成本（预算）节约情况</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项目资金按进度完成使用，无超支。</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 项目的效率性分析工作</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（1）项目的实施进度</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按年初制定计划执行，严格项目进度管理，截止2023年12月，财政预算安排规划编制与课题研究项目资金已按进度及时拨付。</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（2）项目完成质量</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认真细化项目资金，合理分配资金使用进度，按进度完成93.66%预算指标。</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 项目的效益性分析</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（1）项目预期目标完成程度</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截止2023年12月，规划编制与课题研究项目按进度完成93.66%预算指标。</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（2）项目实施对经济和社会的影响</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海南省充电基础设施信息管理平台政府购买服务协议书》，为做好我市2022年、2023年度充电基础设施建设运营补贴工作，我委委托海南省交通投资控股有限公司开展海口市充电基础设施联合验收相关工作，对参与海口市充电基础设施建设企业申报建设运营补贴进行验收审核，确保财政补贴资金规范有效的发放到符合准入条件、运营管理规范、诚信经营的企业，充分调动市场主体参与积极性。</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2022年海口市营商环境综合评估与优化建议咨询服务协议》，该课题通过构建营商环境指标模型、海口市特色营商环境评估方法，进行数据分析及营商环境深入调研评估、对标先进并提出优化建议，提交了四个季度及年度《海口营商环境综合评估与优化建议报告》，报告内容包括：海口营商环境国家发改委体系评估结果、海口营商环境综合竞争力评估结果、海口市营商环境发展优化建议。提出了营商环境18个指标整改建议清单。协助制定了海口市优化营商环境行动计划2023年建议，获得政府常务会议审议通过。该课题很好的协助了海口市开展营商环境工作，提供了有力支撑。</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海口市碳达峰实施方案》课题编制。2022年12月，我委正式启动《海口市碳达峰实施方案》编制工作，起草过程中始终坚持“上下联动”，向上充分衔接《海南省碳达峰实施方案》框架结构，向下深入重点部门调研，因地制宜凸显海口特色，在充分进行科学测算的基础下，为海口市2030年前锚定了碳达峰的科学路线，对下一步深化国家生态文明试验区建设，全面建设美丽中国下的“海口样板”，努力打造全国绿色转型发展的先行之地、示范之地，确保如期实现碳达峰碳中和目标具有重大意义。</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海口市重点用能单位》核查工作。重点用能单位是绿色低碳转型的重点对象，海口市积极配合省级部门的要求，对全市300多家纳入监管的重点用能单位企业进行重点用能核查，这项工作是完成能耗下降目标的重要支撑和根本保证，有助于主管部门把控全市相关重点用能企业的节能降碳目标，找出全市高能耗环节和存在的主要问题，督促企业制定确定符合企业发展和实际情况的节能降碳技术路线。</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海口市创建全国社会信用体系示范区聘请信用服务机构服务项目。海口市城市信用状况监测排名有效提升并连续几个月保持在中上游。2023年7月31日，海口市入选国家发展改革委和中国人民银行公布的全国第四批社会信用体系建设示范区创建城市名单，是海南省全国社会信用体系建设示范区。</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全国信用信息共享平台（海南·海口）升级完善工程项目。对现有海口市信用信息共享平台进行能力提升和应用扩展。建成数据处理高效高质、共享交换及时畅通、信息融合增值增效、信息服务灵活适用、运维体系安全可靠的新一代信用系统，提高各部门信用信息报送效率，加强信用信息共享应用，进一步推进诚信海口建设，为优化营商环境和实现高质量发展提供支撑。</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十四五”规划中期评估。开展“十四五”中期评估，市推动规划落实的重要举措，是维护“十四五”规划的法定性、权威性、严肃性的必然要求。该项目的实施，关注规划实施过程中的新情况新问题，分析深层次原因，并提出解决问题的新思路新办法，促进规划更好的落地见效，推动全市经济社会高质量发展。</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海口市推动共同富裕重大问题研究（含行动方案）》项目。开展海口市推动共同富裕重大问题研究（含行动方案），旨在找准可以塑造的亮点和明显短板，着眼于推动共同富裕中凸显海口特色，挖掘可以塑造的亮点和潜力增长点，提出海口推动共同富裕的指导思想、总体原则、战略定位、指标体系和分阶段目标建议，明确推动共同富裕的重点领域和工作思路，为谋划制定海口市为共同富裕打基础的近期措施建议，有助于共同富裕重要战略的推进和落地。</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xml:space="preserve">    海口建设国际海洋中心城市实施方案研究项目。我市作</w:t>
      </w:r>
      <w:bookmarkStart w:id="0" w:name="_GoBack"/>
      <w:r>
        <w:rPr>
          <w:rFonts w:hint="eastAsia" w:ascii="仿宋_GB2312" w:hAnsi="仿宋_GB2312" w:eastAsia="仿宋_GB2312" w:cs="仿宋_GB2312"/>
          <w:kern w:val="0"/>
          <w:sz w:val="32"/>
          <w:szCs w:val="32"/>
          <w:lang w:val="en-US" w:eastAsia="zh-CN" w:bidi="ar"/>
        </w:rPr>
        <w:t>为海南省会中心城市、滨海城市及全省北部海洋经济增长极核心城市，建设国际海洋中心城市不仅是实现向效益型转变的重大举措，也将明显提升海口市在海南海洋强省建设、自由贸易港建设中的战略地位。开展海口建设国际海洋中心城市实施方案研究，有助于该战略实施，为建</w:t>
      </w:r>
      <w:bookmarkEnd w:id="0"/>
      <w:r>
        <w:rPr>
          <w:rFonts w:hint="eastAsia" w:ascii="仿宋_GB2312" w:hAnsi="仿宋_GB2312" w:eastAsia="仿宋_GB2312" w:cs="仿宋_GB2312"/>
          <w:kern w:val="0"/>
          <w:sz w:val="32"/>
          <w:szCs w:val="32"/>
          <w:lang w:val="en-US" w:eastAsia="zh-CN" w:bidi="ar"/>
        </w:rPr>
        <w:t>设海口海洋中心城市打好基础。</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（二）项目绩效目标未完成原因分析。</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无未完成2023年度预算批复的项目绩效。</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其他需要说明的问题</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（一）后续工作计划</w:t>
      </w: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对于经常性项目，提前做好各部门预算计划，合理安排资金的使用及规范性管理，资金支出严格执行财务相关管理规章制度。</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（二）主要经验及做法、存在问题和建议</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p>
    <w:p>
      <w:pPr>
        <w:spacing w:line="578" w:lineRule="exact"/>
        <w:ind w:firstLine="3840" w:firstLineChars="1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海口市发展和改革委员会</w:t>
      </w:r>
    </w:p>
    <w:p>
      <w:pPr>
        <w:spacing w:line="578" w:lineRule="exact"/>
        <w:ind w:firstLine="4160" w:firstLineChars="13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2024年3月20日</w:t>
      </w: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p>
    <w:p>
      <w:pPr>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p>
    <w:p>
      <w:pPr>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0D6085"/>
    <w:rsid w:val="0CE32271"/>
    <w:rsid w:val="329C1B6A"/>
    <w:rsid w:val="3FAF275E"/>
    <w:rsid w:val="5D0D6085"/>
    <w:rsid w:val="5E542A32"/>
    <w:rsid w:val="6CCF64C8"/>
    <w:rsid w:val="6F7B3D66"/>
    <w:rsid w:val="70031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hint="default" w:ascii="宋体" w:hAnsi="宋体" w:eastAsia="宋体" w:cs="宋体"/>
      <w:kern w:val="0"/>
      <w:sz w:val="24"/>
      <w:lang w:val="en-US" w:eastAsia="zh-CN" w:bidi="ar"/>
    </w:rPr>
  </w:style>
  <w:style w:type="character" w:customStyle="1" w:styleId="5">
    <w:name w:val="10"/>
    <w:basedOn w:val="4"/>
    <w:qFormat/>
    <w:uiPriority w:val="0"/>
    <w:rPr>
      <w:rFonts w:hint="default" w:ascii="Times New Roman" w:hAnsi="Times New Roman" w:cs="Times New Roman"/>
    </w:rPr>
  </w:style>
  <w:style w:type="character" w:customStyle="1" w:styleId="6">
    <w:name w:val="15"/>
    <w:basedOn w:val="4"/>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23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2024-03-21T03:35:00Z</dcterms:created>
  <dc:creator>Administrator</dc:creator>
  <cp:lastModifiedBy>Administrator</cp:lastModifiedBy>
  <dcterms:modified xsi:type="dcterms:W3CDTF">2024-03-22T07:10:01Z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