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line="420" w:lineRule="atLeast"/>
        <w:ind w:left="0" w:firstLine="180"/>
        <w:jc w:val="center"/>
        <w:rPr>
          <w:rStyle w:val="5"/>
          <w:rFonts w:hint="eastAsia" w:ascii="宋体" w:hAnsi="宋体" w:eastAsia="宋体" w:cs="宋体"/>
          <w:b/>
          <w:bCs w:val="0"/>
          <w:sz w:val="44"/>
          <w:szCs w:val="44"/>
        </w:rPr>
      </w:pPr>
    </w:p>
    <w:p>
      <w:pPr>
        <w:pStyle w:val="2"/>
        <w:keepNext w:val="0"/>
        <w:keepLines w:val="0"/>
        <w:widowControl/>
        <w:suppressLineNumbers w:val="0"/>
        <w:spacing w:line="420" w:lineRule="atLeast"/>
        <w:ind w:left="0" w:firstLine="180"/>
        <w:jc w:val="center"/>
        <w:rPr>
          <w:b/>
          <w:bCs w:val="0"/>
          <w:sz w:val="44"/>
          <w:szCs w:val="44"/>
        </w:rPr>
      </w:pPr>
      <w:r>
        <w:rPr>
          <w:rStyle w:val="5"/>
          <w:rFonts w:hint="eastAsia" w:ascii="宋体" w:hAnsi="宋体" w:eastAsia="宋体" w:cs="宋体"/>
          <w:b/>
          <w:bCs w:val="0"/>
          <w:sz w:val="44"/>
          <w:szCs w:val="44"/>
        </w:rPr>
        <w:t>海口市项目支出绩效自评报告</w:t>
      </w:r>
      <w:r>
        <w:rPr>
          <w:rStyle w:val="5"/>
          <w:b/>
          <w:bCs w:val="0"/>
          <w:sz w:val="44"/>
          <w:szCs w:val="44"/>
        </w:rPr>
        <w:t xml:space="preserve"> </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一、项目概况    </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 xml:space="preserve">（一）项目基本情况：立项情况、实施主体项目、资金及主要内容  </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 xml:space="preserve">预算单位 海口市发展和改革委员会 </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项</w:t>
      </w:r>
      <w:r>
        <w:rPr>
          <w:rFonts w:hint="eastAsia" w:ascii="仿宋_GB2312" w:hAnsi="仿宋_GB2312" w:eastAsia="仿宋_GB2312" w:cs="仿宋_GB2312"/>
          <w:kern w:val="0"/>
          <w:sz w:val="32"/>
          <w:szCs w:val="32"/>
          <w:lang w:val="en-US" w:eastAsia="zh-CN" w:bidi="ar"/>
        </w:rPr>
        <w:t xml:space="preserve">  </w:t>
      </w:r>
      <w:r>
        <w:rPr>
          <w:rFonts w:hint="default" w:ascii="仿宋_GB2312" w:hAnsi="仿宋_GB2312" w:eastAsia="仿宋_GB2312" w:cs="仿宋_GB2312"/>
          <w:kern w:val="0"/>
          <w:sz w:val="32"/>
          <w:szCs w:val="32"/>
          <w:lang w:val="en-US" w:eastAsia="zh-CN" w:bidi="ar"/>
        </w:rPr>
        <w:t xml:space="preserve">目 </w:t>
      </w:r>
      <w:r>
        <w:rPr>
          <w:rFonts w:hint="eastAsia" w:ascii="仿宋_GB2312" w:hAnsi="仿宋_GB2312" w:eastAsia="仿宋_GB2312" w:cs="仿宋_GB2312"/>
          <w:kern w:val="0"/>
          <w:sz w:val="32"/>
          <w:szCs w:val="32"/>
          <w:lang w:val="en-US" w:eastAsia="zh-CN" w:bidi="ar"/>
        </w:rPr>
        <w:t xml:space="preserve">  </w:t>
      </w:r>
      <w:r>
        <w:rPr>
          <w:rFonts w:hint="default" w:ascii="仿宋_GB2312" w:hAnsi="仿宋_GB2312" w:eastAsia="仿宋_GB2312" w:cs="仿宋_GB2312"/>
          <w:kern w:val="0"/>
          <w:sz w:val="32"/>
          <w:szCs w:val="32"/>
          <w:lang w:val="en-US" w:eastAsia="zh-CN" w:bidi="ar"/>
        </w:rPr>
        <w:t>充/换电基础设施建设及运营补贴属于部门项目</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主管部门</w:t>
      </w:r>
      <w:r>
        <w:rPr>
          <w:rFonts w:hint="eastAsia" w:ascii="仿宋_GB2312" w:hAnsi="仿宋_GB2312" w:eastAsia="仿宋_GB2312" w:cs="仿宋_GB2312"/>
          <w:kern w:val="0"/>
          <w:sz w:val="32"/>
          <w:szCs w:val="32"/>
          <w:lang w:val="en-US" w:eastAsia="zh-CN" w:bidi="ar"/>
        </w:rPr>
        <w:t xml:space="preserve">  </w:t>
      </w:r>
      <w:r>
        <w:rPr>
          <w:rFonts w:hint="default" w:ascii="仿宋_GB2312" w:hAnsi="仿宋_GB2312" w:eastAsia="仿宋_GB2312" w:cs="仿宋_GB2312"/>
          <w:kern w:val="0"/>
          <w:sz w:val="32"/>
          <w:szCs w:val="32"/>
          <w:lang w:val="en-US" w:eastAsia="zh-CN" w:bidi="ar"/>
        </w:rPr>
        <w:t>为海口市发展和改革委员会</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项目负责人为：惠文玉</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联系电话：17389811877</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 xml:space="preserve">项目概述如下：根据《海南省电动汽车充电基础设施建设运营补贴暂行办法》（琼发改【2019】922号）规定，对在我市建设对外运营且接入省级平台的充/换电基础设施建设运营企业给予一定的补贴支持。   </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 xml:space="preserve">（二）项目年度预算绩效目标和绩效指标设定情况  </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总体目标：</w:t>
      </w:r>
      <w:r>
        <w:rPr>
          <w:rFonts w:hint="eastAsia" w:ascii="仿宋_GB2312" w:hAnsi="仿宋_GB2312" w:eastAsia="仿宋_GB2312" w:cs="仿宋_GB2312"/>
          <w:kern w:val="0"/>
          <w:sz w:val="32"/>
          <w:szCs w:val="32"/>
          <w:lang w:val="en-US" w:eastAsia="zh-CN" w:bidi="ar"/>
        </w:rPr>
        <w:t xml:space="preserve"> </w:t>
      </w:r>
      <w:r>
        <w:rPr>
          <w:rFonts w:hint="default" w:ascii="仿宋_GB2312" w:hAnsi="仿宋_GB2312" w:eastAsia="仿宋_GB2312" w:cs="仿宋_GB2312"/>
          <w:kern w:val="0"/>
          <w:sz w:val="32"/>
          <w:szCs w:val="32"/>
          <w:lang w:val="en-US" w:eastAsia="zh-CN" w:bidi="ar"/>
        </w:rPr>
        <w:t>　</w:t>
      </w:r>
      <w:r>
        <w:rPr>
          <w:rFonts w:hint="eastAsia" w:ascii="仿宋_GB2312" w:hAnsi="仿宋_GB2312" w:eastAsia="仿宋_GB2312" w:cs="仿宋_GB2312"/>
          <w:kern w:val="0"/>
          <w:sz w:val="32"/>
          <w:szCs w:val="32"/>
          <w:lang w:val="en-US" w:eastAsia="zh-CN" w:bidi="ar"/>
        </w:rPr>
        <w:t xml:space="preserve">   </w:t>
      </w:r>
      <w:r>
        <w:rPr>
          <w:rFonts w:hint="default" w:ascii="仿宋_GB2312" w:hAnsi="仿宋_GB2312" w:eastAsia="仿宋_GB2312" w:cs="仿宋_GB2312"/>
          <w:kern w:val="0"/>
          <w:sz w:val="32"/>
          <w:szCs w:val="32"/>
          <w:lang w:val="en-US" w:eastAsia="zh-CN" w:bidi="ar"/>
        </w:rPr>
        <w:t>确保我市充/换电基础设施正常运行。</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2023年年度目标　确保我市充/换电基础设施正常运行。</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当年年度目标完成情况：对在我市建设对外运营且接入省级平台的充/换电基础设施建设运营企业给予一定的补贴支持，确保我市充/换电基础设施正常运行。</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二、项目决策及资金使用管理情况</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（一）项目决策情况（包括决策过程和结果）</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我委在项目决策、项目管理、项目使用上合理安排，资金管理、费用支出制度健全，项目资金严格按照预算使用，会计核算规范。项目绩效良好。</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（二）项目资金（包括财政资金、自筹资金等）安排落实、总投入等情况</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预算情况如下：</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资金总额-年初预算数19265800元，资金总额-全年预算数31531534元，财政资金-年初预算数19265800元财政资金-全年预算数31531534元，专户-年初预算数0元，专户全年预算数0元，单位年初预算数0元，单位全年预算数0元。</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（三）项目资金（主要是指财政资金）实际使用情况</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资金执行情况如下：</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资金总额-全年执行数24531468元，资金总额-执行率77.80%</w:t>
      </w:r>
      <w:r>
        <w:rPr>
          <w:rFonts w:hint="eastAsia" w:ascii="仿宋_GB2312" w:hAnsi="仿宋_GB2312" w:eastAsia="仿宋_GB2312" w:cs="仿宋_GB2312"/>
          <w:kern w:val="0"/>
          <w:sz w:val="32"/>
          <w:szCs w:val="32"/>
          <w:lang w:val="en-US" w:eastAsia="zh-CN" w:bidi="ar"/>
        </w:rPr>
        <w:t>,</w:t>
      </w:r>
      <w:r>
        <w:rPr>
          <w:rFonts w:hint="default" w:ascii="仿宋_GB2312" w:hAnsi="仿宋_GB2312" w:eastAsia="仿宋_GB2312" w:cs="仿宋_GB2312"/>
          <w:kern w:val="0"/>
          <w:sz w:val="32"/>
          <w:szCs w:val="32"/>
          <w:lang w:val="en-US" w:eastAsia="zh-CN" w:bidi="ar"/>
        </w:rPr>
        <w:t>其中：财政资金-全年执行数24531468元，财政资金-执行率77.80%</w:t>
      </w:r>
      <w:r>
        <w:rPr>
          <w:rFonts w:hint="eastAsia" w:ascii="仿宋_GB2312" w:hAnsi="仿宋_GB2312" w:eastAsia="仿宋_GB2312" w:cs="仿宋_GB2312"/>
          <w:kern w:val="0"/>
          <w:sz w:val="32"/>
          <w:szCs w:val="32"/>
          <w:lang w:val="en-US" w:eastAsia="zh-CN" w:bidi="ar"/>
        </w:rPr>
        <w:t>,</w:t>
      </w:r>
      <w:r>
        <w:rPr>
          <w:rFonts w:hint="default" w:ascii="仿宋_GB2312" w:hAnsi="仿宋_GB2312" w:eastAsia="仿宋_GB2312" w:cs="仿宋_GB2312"/>
          <w:kern w:val="0"/>
          <w:sz w:val="32"/>
          <w:szCs w:val="32"/>
          <w:lang w:val="en-US" w:eastAsia="zh-CN" w:bidi="ar"/>
        </w:rPr>
        <w:t>专户全年执行数0元，专户-执行率0</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w:t>
      </w:r>
      <w:r>
        <w:rPr>
          <w:rFonts w:hint="default" w:ascii="仿宋_GB2312" w:hAnsi="仿宋_GB2312" w:eastAsia="仿宋_GB2312" w:cs="仿宋_GB2312"/>
          <w:kern w:val="0"/>
          <w:sz w:val="32"/>
          <w:szCs w:val="32"/>
          <w:lang w:val="en-US" w:eastAsia="zh-CN" w:bidi="ar"/>
        </w:rPr>
        <w:t>单位全年执行数0元，单位全年执行率0.00%</w:t>
      </w:r>
      <w:r>
        <w:rPr>
          <w:rFonts w:hint="eastAsia" w:ascii="仿宋_GB2312" w:hAnsi="仿宋_GB2312" w:eastAsia="仿宋_GB2312" w:cs="仿宋_GB2312"/>
          <w:kern w:val="0"/>
          <w:sz w:val="32"/>
          <w:szCs w:val="32"/>
          <w:lang w:val="en-US" w:eastAsia="zh-CN" w:bidi="ar"/>
        </w:rPr>
        <w:t>。</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（四）项目资金管理情况</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项目资金使用采取授权支付形式，年初制定支付计划，期间严格按照市财政、市发改委制定的财务管理规定对资金进行计划申请、划拨、使用、及时、规范对收支进行财务处理和会计核算。无虚列项目支出、截留挤占挪用、超标准开支、无超预算等情况。</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三、项目组织实施情况</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（一）项目组织情况（包括项目招投标情况、调整情况、完成验收等）</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严格遵守资金使用规定。按规定使用资金，保障市级充电基础设施建设运营补贴正常拨付。</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（二）项目管理情况（包括项目管理制度建设、日常检查监督等情况）</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根据市委市政府相关规定，并严格按照市财政、市发改委财务管理规定对使用项目资金的过程进行管理有效的监控及管理，无虚列项目支出、截留挤占挪用、超标准开支、无超预算等情况。</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四、项目绩效情况</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（一）项目绩效目标完成情况。将项目实际完成情况与申报的绩效目标对比，从项目的经济性、效率性、有效性和可持续性等方面对项目绩效进行量化、具体分析。</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1. 项目的经济性分析</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（1）项目成本（预算）控制情况</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202</w:t>
      </w:r>
      <w:r>
        <w:rPr>
          <w:rFonts w:hint="eastAsia" w:ascii="仿宋_GB2312" w:hAnsi="仿宋_GB2312" w:eastAsia="仿宋_GB2312" w:cs="仿宋_GB2312"/>
          <w:kern w:val="0"/>
          <w:sz w:val="32"/>
          <w:szCs w:val="32"/>
          <w:lang w:val="en-US" w:eastAsia="zh-CN" w:bidi="ar"/>
        </w:rPr>
        <w:t>3</w:t>
      </w:r>
      <w:r>
        <w:rPr>
          <w:rFonts w:hint="default" w:ascii="仿宋_GB2312" w:hAnsi="仿宋_GB2312" w:eastAsia="仿宋_GB2312" w:cs="仿宋_GB2312"/>
          <w:kern w:val="0"/>
          <w:sz w:val="32"/>
          <w:szCs w:val="32"/>
          <w:lang w:val="en-US" w:eastAsia="zh-CN" w:bidi="ar"/>
        </w:rPr>
        <w:t>年充/换电基础设施建设及运营补贴项目全年预算数31531534元，全年执行数0元，完成进度0%。</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（2）项目成本（预算）节约情况</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充/换电基础设施建设及运营补贴项目资金按进度完成使用，无超支预算。</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2. 项目的效率性分析</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（1）项目的实施进度</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按年初制定计划执行，严格项目进度管理，截止202</w:t>
      </w:r>
      <w:r>
        <w:rPr>
          <w:rFonts w:hint="eastAsia" w:ascii="仿宋_GB2312" w:hAnsi="仿宋_GB2312" w:eastAsia="仿宋_GB2312" w:cs="仿宋_GB2312"/>
          <w:kern w:val="0"/>
          <w:sz w:val="32"/>
          <w:szCs w:val="32"/>
          <w:lang w:val="en-US" w:eastAsia="zh-CN" w:bidi="ar"/>
        </w:rPr>
        <w:t>3</w:t>
      </w:r>
      <w:r>
        <w:rPr>
          <w:rFonts w:hint="default" w:ascii="仿宋_GB2312" w:hAnsi="仿宋_GB2312" w:eastAsia="仿宋_GB2312" w:cs="仿宋_GB2312"/>
          <w:kern w:val="0"/>
          <w:sz w:val="32"/>
          <w:szCs w:val="32"/>
          <w:lang w:val="en-US" w:eastAsia="zh-CN" w:bidi="ar"/>
        </w:rPr>
        <w:t>年12月，我市充换电基础设施建设及运营补贴由省市两级各担50%，并一起发改，但由于省级补贴部分资金下达较晚（20</w:t>
      </w:r>
      <w:r>
        <w:rPr>
          <w:rFonts w:hint="eastAsia" w:ascii="仿宋_GB2312" w:hAnsi="仿宋_GB2312" w:eastAsia="仿宋_GB2312" w:cs="仿宋_GB2312"/>
          <w:kern w:val="0"/>
          <w:sz w:val="32"/>
          <w:szCs w:val="32"/>
          <w:lang w:val="en-US" w:eastAsia="zh-CN" w:bidi="ar"/>
        </w:rPr>
        <w:t>23</w:t>
      </w:r>
      <w:r>
        <w:rPr>
          <w:rFonts w:hint="default" w:ascii="仿宋_GB2312" w:hAnsi="仿宋_GB2312" w:eastAsia="仿宋_GB2312" w:cs="仿宋_GB2312"/>
          <w:kern w:val="0"/>
          <w:sz w:val="32"/>
          <w:szCs w:val="32"/>
          <w:lang w:val="en-US" w:eastAsia="zh-CN" w:bidi="ar"/>
        </w:rPr>
        <w:t>年12月2</w:t>
      </w:r>
      <w:r>
        <w:rPr>
          <w:rFonts w:hint="eastAsia" w:ascii="仿宋_GB2312" w:hAnsi="仿宋_GB2312" w:eastAsia="仿宋_GB2312" w:cs="仿宋_GB2312"/>
          <w:kern w:val="0"/>
          <w:sz w:val="32"/>
          <w:szCs w:val="32"/>
          <w:lang w:val="en-US" w:eastAsia="zh-CN" w:bidi="ar"/>
        </w:rPr>
        <w:t>1</w:t>
      </w:r>
      <w:r>
        <w:rPr>
          <w:rFonts w:hint="default" w:ascii="仿宋_GB2312" w:hAnsi="仿宋_GB2312" w:eastAsia="仿宋_GB2312" w:cs="仿宋_GB2312"/>
          <w:kern w:val="0"/>
          <w:sz w:val="32"/>
          <w:szCs w:val="32"/>
          <w:lang w:val="en-US" w:eastAsia="zh-CN" w:bidi="ar"/>
        </w:rPr>
        <w:t>日下达），导致未能在202</w:t>
      </w:r>
      <w:r>
        <w:rPr>
          <w:rFonts w:hint="eastAsia" w:ascii="仿宋_GB2312" w:hAnsi="仿宋_GB2312" w:eastAsia="仿宋_GB2312" w:cs="仿宋_GB2312"/>
          <w:kern w:val="0"/>
          <w:sz w:val="32"/>
          <w:szCs w:val="32"/>
          <w:lang w:val="en-US" w:eastAsia="zh-CN" w:bidi="ar"/>
        </w:rPr>
        <w:t>3</w:t>
      </w:r>
      <w:r>
        <w:rPr>
          <w:rFonts w:hint="default" w:ascii="仿宋_GB2312" w:hAnsi="仿宋_GB2312" w:eastAsia="仿宋_GB2312" w:cs="仿宋_GB2312"/>
          <w:kern w:val="0"/>
          <w:sz w:val="32"/>
          <w:szCs w:val="32"/>
          <w:lang w:val="en-US" w:eastAsia="zh-CN" w:bidi="ar"/>
        </w:rPr>
        <w:t>年度完成该笔资金的拨付。</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（2）项目完成质量</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认真细化项目资金，合理分配资金使用进度，按进度完成预算指标。</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3. 项目的效益性分析</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（1）项目预期目标完成程度</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截止202</w:t>
      </w:r>
      <w:r>
        <w:rPr>
          <w:rFonts w:hint="eastAsia" w:ascii="仿宋_GB2312" w:hAnsi="仿宋_GB2312" w:eastAsia="仿宋_GB2312" w:cs="仿宋_GB2312"/>
          <w:kern w:val="0"/>
          <w:sz w:val="32"/>
          <w:szCs w:val="32"/>
          <w:lang w:val="en-US" w:eastAsia="zh-CN" w:bidi="ar"/>
        </w:rPr>
        <w:t>3</w:t>
      </w:r>
      <w:r>
        <w:rPr>
          <w:rFonts w:hint="default" w:ascii="仿宋_GB2312" w:hAnsi="仿宋_GB2312" w:eastAsia="仿宋_GB2312" w:cs="仿宋_GB2312"/>
          <w:kern w:val="0"/>
          <w:sz w:val="32"/>
          <w:szCs w:val="32"/>
          <w:lang w:val="en-US" w:eastAsia="zh-CN" w:bidi="ar"/>
        </w:rPr>
        <w:t>年12月，充/换电基础设施建设及运营补贴项目实施完毕，完成程度</w:t>
      </w:r>
      <w:r>
        <w:rPr>
          <w:rFonts w:hint="eastAsia" w:ascii="仿宋_GB2312" w:hAnsi="仿宋_GB2312" w:eastAsia="仿宋_GB2312" w:cs="仿宋_GB2312"/>
          <w:kern w:val="0"/>
          <w:sz w:val="32"/>
          <w:szCs w:val="32"/>
          <w:lang w:val="en-US" w:eastAsia="zh-CN" w:bidi="ar"/>
        </w:rPr>
        <w:t>0</w:t>
      </w:r>
      <w:r>
        <w:rPr>
          <w:rFonts w:hint="default" w:ascii="仿宋_GB2312" w:hAnsi="仿宋_GB2312" w:eastAsia="仿宋_GB2312" w:cs="仿宋_GB2312"/>
          <w:kern w:val="0"/>
          <w:sz w:val="32"/>
          <w:szCs w:val="32"/>
          <w:lang w:val="en-US" w:eastAsia="zh-CN" w:bidi="ar"/>
        </w:rPr>
        <w:t>%。</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（2）项目实施对经济和社会的影响</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按全年我市充/换电基础设施建设及运营项目全年预算数31531534元的规模测算，我市需承担50%。补贴的及时拨付是确保我市充电基础设施建设良性健康有序发展的保证，也是促进我市新能源汽车推广应用的有力保障。</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4. 项目的可持续性分析</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根据我市充/换电基础设施建设的规划引导企业合理布局建设，适时开展对外运营充/换电基础设施监管监控工作，按年度对建设及运营补贴等相关经费进行及时拨付，确保我市充/换电基础设施建设工作能够有序开展，此项目为经常性项目，需要持续开展。</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（二）项目绩效目标未完成情况及原因分析</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按年初制定计划执行，严格项目进度管理，截止202</w:t>
      </w:r>
      <w:r>
        <w:rPr>
          <w:rFonts w:hint="eastAsia" w:ascii="仿宋_GB2312" w:hAnsi="仿宋_GB2312" w:eastAsia="仿宋_GB2312" w:cs="仿宋_GB2312"/>
          <w:kern w:val="0"/>
          <w:sz w:val="32"/>
          <w:szCs w:val="32"/>
          <w:lang w:val="en-US" w:eastAsia="zh-CN" w:bidi="ar"/>
        </w:rPr>
        <w:t>3</w:t>
      </w:r>
      <w:r>
        <w:rPr>
          <w:rFonts w:hint="default" w:ascii="仿宋_GB2312" w:hAnsi="仿宋_GB2312" w:eastAsia="仿宋_GB2312" w:cs="仿宋_GB2312"/>
          <w:kern w:val="0"/>
          <w:sz w:val="32"/>
          <w:szCs w:val="32"/>
          <w:lang w:val="en-US" w:eastAsia="zh-CN" w:bidi="ar"/>
        </w:rPr>
        <w:t>年12月，我市充换电基础设施建设及运营补贴由省市两级各担50%，并一起发改，但</w:t>
      </w:r>
      <w:bookmarkStart w:id="0" w:name="_GoBack"/>
      <w:bookmarkEnd w:id="0"/>
      <w:r>
        <w:rPr>
          <w:rFonts w:hint="default" w:ascii="仿宋_GB2312" w:hAnsi="仿宋_GB2312" w:eastAsia="仿宋_GB2312" w:cs="仿宋_GB2312"/>
          <w:kern w:val="0"/>
          <w:sz w:val="32"/>
          <w:szCs w:val="32"/>
          <w:lang w:val="en-US" w:eastAsia="zh-CN" w:bidi="ar"/>
        </w:rPr>
        <w:t>由于省级补贴部分资金下达较晚（20</w:t>
      </w:r>
      <w:r>
        <w:rPr>
          <w:rFonts w:hint="eastAsia" w:ascii="仿宋_GB2312" w:hAnsi="仿宋_GB2312" w:eastAsia="仿宋_GB2312" w:cs="仿宋_GB2312"/>
          <w:kern w:val="0"/>
          <w:sz w:val="32"/>
          <w:szCs w:val="32"/>
          <w:lang w:val="en-US" w:eastAsia="zh-CN" w:bidi="ar"/>
        </w:rPr>
        <w:t>23</w:t>
      </w:r>
      <w:r>
        <w:rPr>
          <w:rFonts w:hint="default" w:ascii="仿宋_GB2312" w:hAnsi="仿宋_GB2312" w:eastAsia="仿宋_GB2312" w:cs="仿宋_GB2312"/>
          <w:kern w:val="0"/>
          <w:sz w:val="32"/>
          <w:szCs w:val="32"/>
          <w:lang w:val="en-US" w:eastAsia="zh-CN" w:bidi="ar"/>
        </w:rPr>
        <w:t>年12月2</w:t>
      </w:r>
      <w:r>
        <w:rPr>
          <w:rFonts w:hint="eastAsia" w:ascii="仿宋_GB2312" w:hAnsi="仿宋_GB2312" w:eastAsia="仿宋_GB2312" w:cs="仿宋_GB2312"/>
          <w:kern w:val="0"/>
          <w:sz w:val="32"/>
          <w:szCs w:val="32"/>
          <w:lang w:val="en-US" w:eastAsia="zh-CN" w:bidi="ar"/>
        </w:rPr>
        <w:t>1</w:t>
      </w:r>
      <w:r>
        <w:rPr>
          <w:rFonts w:hint="default" w:ascii="仿宋_GB2312" w:hAnsi="仿宋_GB2312" w:eastAsia="仿宋_GB2312" w:cs="仿宋_GB2312"/>
          <w:kern w:val="0"/>
          <w:sz w:val="32"/>
          <w:szCs w:val="32"/>
          <w:lang w:val="en-US" w:eastAsia="zh-CN" w:bidi="ar"/>
        </w:rPr>
        <w:t>日下达），导致未能在202</w:t>
      </w:r>
      <w:r>
        <w:rPr>
          <w:rFonts w:hint="eastAsia" w:ascii="仿宋_GB2312" w:hAnsi="仿宋_GB2312" w:eastAsia="仿宋_GB2312" w:cs="仿宋_GB2312"/>
          <w:kern w:val="0"/>
          <w:sz w:val="32"/>
          <w:szCs w:val="32"/>
          <w:lang w:val="en-US" w:eastAsia="zh-CN" w:bidi="ar"/>
        </w:rPr>
        <w:t>3</w:t>
      </w:r>
      <w:r>
        <w:rPr>
          <w:rFonts w:hint="default" w:ascii="仿宋_GB2312" w:hAnsi="仿宋_GB2312" w:eastAsia="仿宋_GB2312" w:cs="仿宋_GB2312"/>
          <w:kern w:val="0"/>
          <w:sz w:val="32"/>
          <w:szCs w:val="32"/>
          <w:lang w:val="en-US" w:eastAsia="zh-CN" w:bidi="ar"/>
        </w:rPr>
        <w:t>年度完成该笔资金的拨付</w:t>
      </w:r>
      <w:r>
        <w:rPr>
          <w:rFonts w:hint="eastAsia" w:ascii="仿宋_GB2312" w:hAnsi="仿宋_GB2312" w:eastAsia="仿宋_GB2312" w:cs="仿宋_GB2312"/>
          <w:kern w:val="0"/>
          <w:sz w:val="32"/>
          <w:szCs w:val="32"/>
          <w:lang w:val="en-US" w:eastAsia="zh-CN" w:bidi="ar"/>
        </w:rPr>
        <w:t>，项目绩效目标未完成</w:t>
      </w:r>
      <w:r>
        <w:rPr>
          <w:rFonts w:hint="default" w:ascii="仿宋_GB2312" w:hAnsi="仿宋_GB2312" w:eastAsia="仿宋_GB2312" w:cs="仿宋_GB2312"/>
          <w:kern w:val="0"/>
          <w:sz w:val="32"/>
          <w:szCs w:val="32"/>
          <w:lang w:val="en-US" w:eastAsia="zh-CN" w:bidi="ar"/>
        </w:rPr>
        <w:t>。</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五、其他需要说明的问题</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（一）后续工作计划</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对于经常性项目，提前做好各部门预算计划，合理安排资金的使用及规范性管理，资金支出严格执行财务相关管理规章制度。</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（二）主要经验及做法、存在问题和建议</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对项目实施情况和预算执行情况进行定期或不定期的监督检查，对存在的问题及时发现、纠正、整改，确保项目经费的安全、有效、合理使用，保证项目按照预算全面完成，提高项目经费使用效益，也提高项目经费的管理水平。</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firstLine="640" w:firstLineChars="200"/>
        <w:textAlignment w:val="auto"/>
        <w:rPr>
          <w:rFonts w:hint="default" w:ascii="仿宋_GB2312" w:hAnsi="仿宋_GB2312" w:eastAsia="仿宋_GB2312" w:cs="仿宋_GB2312"/>
          <w:kern w:val="0"/>
          <w:sz w:val="32"/>
          <w:szCs w:val="32"/>
          <w:lang w:val="en-US" w:eastAsia="zh-CN" w:bidi="ar"/>
        </w:rPr>
      </w:pPr>
    </w:p>
    <w:p>
      <w:pPr>
        <w:keepNext w:val="0"/>
        <w:keepLines w:val="0"/>
        <w:pageBreakBefore w:val="0"/>
        <w:widowControl/>
        <w:kinsoku/>
        <w:wordWrap/>
        <w:overflowPunct/>
        <w:topLinePunct w:val="0"/>
        <w:autoSpaceDE/>
        <w:autoSpaceDN/>
        <w:bidi w:val="0"/>
        <w:adjustRightInd/>
        <w:snapToGrid/>
        <w:spacing w:beforeAutospacing="0" w:afterAutospacing="0" w:line="578" w:lineRule="exact"/>
        <w:ind w:firstLine="640" w:firstLineChars="200"/>
        <w:textAlignment w:val="auto"/>
        <w:rPr>
          <w:rFonts w:hint="default" w:ascii="仿宋_GB2312" w:hAnsi="仿宋_GB2312" w:eastAsia="仿宋_GB2312" w:cs="仿宋_GB2312"/>
          <w:kern w:val="0"/>
          <w:sz w:val="32"/>
          <w:szCs w:val="32"/>
          <w:lang w:val="en-US" w:eastAsia="zh-CN" w:bidi="ar"/>
        </w:rPr>
      </w:pPr>
    </w:p>
    <w:p>
      <w:pPr>
        <w:keepNext w:val="0"/>
        <w:keepLines w:val="0"/>
        <w:pageBreakBefore w:val="0"/>
        <w:widowControl/>
        <w:kinsoku/>
        <w:wordWrap/>
        <w:overflowPunct/>
        <w:topLinePunct w:val="0"/>
        <w:autoSpaceDE/>
        <w:autoSpaceDN/>
        <w:bidi w:val="0"/>
        <w:adjustRightInd/>
        <w:snapToGrid/>
        <w:spacing w:beforeAutospacing="0" w:afterAutospacing="0" w:line="578" w:lineRule="exact"/>
        <w:ind w:firstLine="640" w:firstLineChars="200"/>
        <w:textAlignment w:val="auto"/>
        <w:rPr>
          <w:rFonts w:hint="default" w:ascii="仿宋_GB2312" w:hAnsi="仿宋_GB2312" w:eastAsia="仿宋_GB2312" w:cs="仿宋_GB2312"/>
          <w:kern w:val="0"/>
          <w:sz w:val="32"/>
          <w:szCs w:val="32"/>
          <w:lang w:val="en-US" w:eastAsia="zh-CN" w:bidi="ar"/>
        </w:rPr>
      </w:pPr>
    </w:p>
    <w:p>
      <w:pPr>
        <w:keepNext w:val="0"/>
        <w:keepLines w:val="0"/>
        <w:pageBreakBefore w:val="0"/>
        <w:widowControl/>
        <w:kinsoku/>
        <w:wordWrap/>
        <w:overflowPunct/>
        <w:topLinePunct w:val="0"/>
        <w:autoSpaceDE/>
        <w:autoSpaceDN/>
        <w:bidi w:val="0"/>
        <w:adjustRightInd/>
        <w:snapToGrid/>
        <w:spacing w:beforeAutospacing="0" w:afterAutospacing="0" w:line="578" w:lineRule="exact"/>
        <w:ind w:firstLine="640" w:firstLineChars="200"/>
        <w:textAlignment w:val="auto"/>
        <w:rPr>
          <w:rFonts w:hint="default" w:ascii="仿宋_GB2312" w:hAnsi="仿宋_GB2312" w:eastAsia="仿宋_GB2312" w:cs="仿宋_GB2312"/>
          <w:kern w:val="0"/>
          <w:sz w:val="32"/>
          <w:szCs w:val="32"/>
          <w:lang w:val="en-US" w:eastAsia="zh-CN" w:bidi="ar"/>
        </w:rPr>
      </w:pPr>
    </w:p>
    <w:p>
      <w:pPr>
        <w:keepNext w:val="0"/>
        <w:keepLines w:val="0"/>
        <w:pageBreakBefore w:val="0"/>
        <w:widowControl/>
        <w:kinsoku/>
        <w:wordWrap/>
        <w:overflowPunct/>
        <w:topLinePunct w:val="0"/>
        <w:autoSpaceDE/>
        <w:autoSpaceDN/>
        <w:bidi w:val="0"/>
        <w:adjustRightInd/>
        <w:snapToGrid/>
        <w:spacing w:beforeAutospacing="0" w:afterAutospacing="0" w:line="578" w:lineRule="exact"/>
        <w:ind w:firstLine="640" w:firstLineChars="200"/>
        <w:textAlignment w:val="auto"/>
        <w:rPr>
          <w:rFonts w:hint="default" w:ascii="仿宋_GB2312" w:hAnsi="仿宋_GB2312" w:eastAsia="仿宋_GB2312" w:cs="仿宋_GB2312"/>
          <w:kern w:val="0"/>
          <w:sz w:val="32"/>
          <w:szCs w:val="32"/>
          <w:lang w:val="en-US" w:eastAsia="zh-CN" w:bidi="ar"/>
        </w:rPr>
      </w:pPr>
    </w:p>
    <w:p>
      <w:pPr>
        <w:keepNext w:val="0"/>
        <w:keepLines w:val="0"/>
        <w:pageBreakBefore w:val="0"/>
        <w:widowControl/>
        <w:kinsoku/>
        <w:wordWrap/>
        <w:overflowPunct/>
        <w:topLinePunct w:val="0"/>
        <w:autoSpaceDE/>
        <w:autoSpaceDN/>
        <w:bidi w:val="0"/>
        <w:adjustRightInd/>
        <w:snapToGrid/>
        <w:spacing w:beforeAutospacing="0" w:afterAutospacing="0" w:line="578" w:lineRule="exact"/>
        <w:ind w:firstLine="640" w:firstLineChars="200"/>
        <w:textAlignment w:val="auto"/>
        <w:rPr>
          <w:rFonts w:hint="default" w:ascii="仿宋_GB2312" w:hAnsi="仿宋_GB2312" w:eastAsia="仿宋_GB2312" w:cs="仿宋_GB2312"/>
          <w:kern w:val="0"/>
          <w:sz w:val="32"/>
          <w:szCs w:val="32"/>
          <w:lang w:val="en-US" w:eastAsia="zh-CN" w:bidi="ar"/>
        </w:rPr>
      </w:pPr>
    </w:p>
    <w:sectPr>
      <w:pgSz w:w="11906" w:h="16839"/>
      <w:pgMar w:top="1440" w:right="1800" w:bottom="1440" w:left="1800"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5C7246"/>
    <w:rsid w:val="26457D62"/>
    <w:rsid w:val="2F5C7246"/>
    <w:rsid w:val="46D55FDD"/>
    <w:rsid w:val="58523AC1"/>
    <w:rsid w:val="5E7C59C0"/>
    <w:rsid w:val="6F064C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3</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2024-03-11T07:15:00Z</dcterms:created>
  <dc:creator>Administrator</dc:creator>
  <cp:lastModifiedBy>Administrator</cp:lastModifiedBy>
  <dcterms:modified xsi:type="dcterms:W3CDTF">2024-03-22T07:38:26Z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