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ind w:left="0"/>
        <w:rPr>
          <w:sz w:val="9"/>
        </w:rPr>
      </w:pPr>
    </w:p>
    <w:p>
      <w:pPr>
        <w:pStyle w:val="3"/>
        <w:spacing w:before="1"/>
        <w:ind w:left="0"/>
        <w:rPr>
          <w:sz w:val="23"/>
        </w:rPr>
      </w:pPr>
    </w:p>
    <w:p>
      <w:pPr>
        <w:pStyle w:val="2"/>
        <w:rPr>
          <w:rFonts w:hint="eastAsia" w:ascii="宋体" w:hAnsi="宋体" w:eastAsia="宋体" w:cs="宋体"/>
          <w:b/>
          <w:bCs/>
          <w:sz w:val="32"/>
          <w:szCs w:val="32"/>
        </w:rPr>
      </w:pPr>
      <w:r>
        <w:rPr>
          <w:rFonts w:hint="eastAsia" w:ascii="宋体" w:hAnsi="宋体" w:eastAsia="宋体" w:cs="宋体"/>
          <w:b/>
          <w:bCs/>
          <w:sz w:val="32"/>
          <w:szCs w:val="32"/>
        </w:rPr>
        <w:t>海口市人民政府办公室关于印发</w:t>
      </w:r>
    </w:p>
    <w:p>
      <w:pPr>
        <w:spacing w:before="0" w:line="649" w:lineRule="exact"/>
        <w:ind w:left="32" w:right="174" w:firstLine="0"/>
        <w:jc w:val="center"/>
        <w:rPr>
          <w:rFonts w:hint="eastAsia" w:ascii="宋体" w:hAnsi="宋体" w:eastAsia="宋体" w:cs="宋体"/>
          <w:b/>
          <w:bCs/>
          <w:sz w:val="32"/>
          <w:szCs w:val="32"/>
        </w:rPr>
      </w:pPr>
      <w:r>
        <w:rPr>
          <w:rFonts w:hint="eastAsia" w:ascii="宋体" w:hAnsi="宋体" w:eastAsia="宋体" w:cs="宋体"/>
          <w:b/>
          <w:bCs/>
          <w:sz w:val="32"/>
          <w:szCs w:val="32"/>
        </w:rPr>
        <w:t>《海口市政府投资项目管理规定》的通知</w:t>
      </w:r>
    </w:p>
    <w:p>
      <w:pPr>
        <w:spacing w:before="0" w:line="649" w:lineRule="exact"/>
        <w:ind w:left="32" w:right="174" w:firstLine="0"/>
        <w:jc w:val="center"/>
        <w:rPr>
          <w:rFonts w:hint="eastAsia" w:ascii="宋体" w:hAnsi="宋体" w:eastAsia="宋体" w:cs="宋体"/>
          <w:sz w:val="30"/>
          <w:szCs w:val="30"/>
        </w:rPr>
      </w:pPr>
      <w:r>
        <w:rPr>
          <w:rFonts w:hint="eastAsia" w:ascii="宋体" w:hAnsi="宋体" w:eastAsia="宋体" w:cs="宋体"/>
          <w:sz w:val="30"/>
          <w:szCs w:val="30"/>
        </w:rPr>
        <w:t>海府办规〔2021〕8 号</w:t>
      </w:r>
    </w:p>
    <w:p>
      <w:pPr>
        <w:pStyle w:val="3"/>
        <w:spacing w:before="9"/>
        <w:ind w:left="0"/>
        <w:rPr>
          <w:rFonts w:ascii="华文中宋"/>
          <w:sz w:val="36"/>
        </w:rPr>
      </w:pPr>
    </w:p>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各区人民政府，市政府直属各单位：</w:t>
      </w:r>
    </w:p>
    <w:p>
      <w:pPr>
        <w:pStyle w:val="3"/>
        <w:spacing w:before="90" w:after="19" w:line="292" w:lineRule="auto"/>
        <w:ind w:right="26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《海口市政府投资项目管理规定》已经十六届市政府第 </w:t>
      </w:r>
      <w:r>
        <w:rPr>
          <w:rFonts w:hint="eastAsia" w:asciiTheme="minorEastAsia" w:hAnsiTheme="minorEastAsia" w:eastAsiaTheme="minorEastAsia" w:cstheme="minorEastAsia"/>
          <w:sz w:val="24"/>
          <w:szCs w:val="24"/>
        </w:rPr>
        <w:t>172 次常务会议审议通过，现印发给你们，请遵照分工认真落实。</w:t>
      </w:r>
    </w:p>
    <w:p>
      <w:pPr>
        <w:pStyle w:val="3"/>
        <w:spacing w:before="90" w:after="19" w:line="292" w:lineRule="auto"/>
        <w:ind w:left="0" w:leftChars="0" w:right="268" w:firstLine="0" w:firstLineChars="0"/>
        <w:rPr>
          <w:rFonts w:hint="eastAsia" w:asciiTheme="minorEastAsia" w:hAnsiTheme="minorEastAsia" w:eastAsiaTheme="minorEastAsia" w:cstheme="minorEastAsia"/>
          <w:sz w:val="24"/>
          <w:szCs w:val="24"/>
        </w:rPr>
      </w:pPr>
    </w:p>
    <w:p>
      <w:pPr>
        <w:spacing w:before="249" w:line="338" w:lineRule="auto"/>
        <w:ind w:left="526" w:leftChars="239" w:right="0" w:firstLine="3650" w:firstLineChars="1534"/>
        <w:jc w:val="right"/>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海口市人民政府办公室</w:t>
      </w:r>
    </w:p>
    <w:p>
      <w:pPr>
        <w:spacing w:before="249" w:line="338" w:lineRule="auto"/>
        <w:ind w:left="526" w:leftChars="239" w:right="0" w:firstLine="3888" w:firstLineChars="1634"/>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2021</w:t>
      </w:r>
      <w:r>
        <w:rPr>
          <w:rFonts w:hint="eastAsia" w:asciiTheme="minorEastAsia" w:hAnsiTheme="minorEastAsia" w:eastAsiaTheme="minorEastAsia" w:cstheme="minorEastAsia"/>
          <w:spacing w:val="-55"/>
          <w:sz w:val="24"/>
          <w:szCs w:val="24"/>
        </w:rPr>
        <w:t xml:space="preserve"> 年 </w:t>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pacing w:val="-55"/>
          <w:sz w:val="24"/>
          <w:szCs w:val="24"/>
        </w:rPr>
        <w:t xml:space="preserve"> 月 </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pacing w:val="-41"/>
          <w:sz w:val="24"/>
          <w:szCs w:val="24"/>
        </w:rPr>
        <w:t xml:space="preserve"> 日</w:t>
      </w:r>
    </w:p>
    <w:p>
      <w:pPr>
        <w:pStyle w:val="3"/>
        <w:ind w:left="4708"/>
        <w:rPr>
          <w:rFonts w:hint="eastAsia" w:asciiTheme="minorEastAsia" w:hAnsiTheme="minorEastAsia" w:eastAsiaTheme="minorEastAsia" w:cstheme="minorEastAsia"/>
          <w:sz w:val="24"/>
          <w:szCs w:val="24"/>
        </w:rPr>
      </w:pPr>
    </w:p>
    <w:p>
      <w:pPr>
        <w:pStyle w:val="3"/>
        <w:spacing w:before="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（此件主动公开）</w:t>
      </w:r>
    </w:p>
    <w:p>
      <w:pPr>
        <w:spacing w:after="0"/>
      </w:pPr>
    </w:p>
    <w:p>
      <w:pPr>
        <w:spacing w:after="0"/>
      </w:pPr>
      <w:bookmarkStart w:id="0" w:name="_GoBack"/>
      <w:bookmarkEnd w:id="0"/>
    </w:p>
    <w:p>
      <w:pPr>
        <w:pStyle w:val="2"/>
        <w:spacing w:before="221" w:line="240" w:lineRule="auto"/>
        <w:ind w:left="0" w:leftChars="0" w:right="173" w:firstLine="0" w:firstLineChars="0"/>
        <w:jc w:val="center"/>
        <w:rPr>
          <w:rFonts w:hint="eastAsia" w:ascii="宋体" w:hAnsi="宋体" w:eastAsia="宋体" w:cs="宋体"/>
          <w:b/>
          <w:bCs/>
          <w:sz w:val="30"/>
          <w:szCs w:val="30"/>
        </w:rPr>
      </w:pPr>
      <w:r>
        <w:rPr>
          <w:rFonts w:hint="eastAsia" w:ascii="宋体" w:hAnsi="宋体" w:eastAsia="宋体" w:cs="宋体"/>
          <w:b/>
          <w:bCs/>
          <w:sz w:val="30"/>
          <w:szCs w:val="30"/>
        </w:rPr>
        <w:t>海口市政府投资项目管理规定</w:t>
      </w:r>
    </w:p>
    <w:p>
      <w:pPr>
        <w:pStyle w:val="3"/>
        <w:spacing w:before="14"/>
        <w:ind w:left="0"/>
        <w:rPr>
          <w:rFonts w:ascii="华文中宋"/>
          <w:sz w:val="36"/>
        </w:rPr>
      </w:pPr>
    </w:p>
    <w:p>
      <w:pPr>
        <w:pStyle w:val="3"/>
        <w:ind w:left="32" w:right="17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总则</w:t>
      </w:r>
    </w:p>
    <w:p>
      <w:pPr>
        <w:pStyle w:val="3"/>
        <w:spacing w:before="169"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7"/>
          <w:sz w:val="24"/>
          <w:szCs w:val="24"/>
        </w:rPr>
        <w:t xml:space="preserve">第一条 </w:t>
      </w:r>
      <w:r>
        <w:rPr>
          <w:rFonts w:hint="eastAsia" w:asciiTheme="minorEastAsia" w:hAnsiTheme="minorEastAsia" w:eastAsiaTheme="minorEastAsia" w:cstheme="minorEastAsia"/>
          <w:spacing w:val="-8"/>
          <w:sz w:val="24"/>
          <w:szCs w:val="24"/>
        </w:rPr>
        <w:t>为规范政府投资项目管理，优化流程，提高投资效</w:t>
      </w:r>
      <w:r>
        <w:rPr>
          <w:rFonts w:hint="eastAsia" w:asciiTheme="minorEastAsia" w:hAnsiTheme="minorEastAsia" w:eastAsiaTheme="minorEastAsia" w:cstheme="minorEastAsia"/>
          <w:spacing w:val="-24"/>
          <w:sz w:val="24"/>
          <w:szCs w:val="24"/>
        </w:rPr>
        <w:t>益，根据《政府投资条例》《海南省政府投资项目管理办法》《海</w:t>
      </w:r>
      <w:r>
        <w:rPr>
          <w:rFonts w:hint="eastAsia" w:asciiTheme="minorEastAsia" w:hAnsiTheme="minorEastAsia" w:eastAsiaTheme="minorEastAsia" w:cstheme="minorEastAsia"/>
          <w:spacing w:val="-9"/>
          <w:sz w:val="24"/>
          <w:szCs w:val="24"/>
        </w:rPr>
        <w:t>南省政府投资项目代建制管理办法》，结合我市实际，制定本规定。</w:t>
      </w:r>
    </w:p>
    <w:p>
      <w:pPr>
        <w:pStyle w:val="3"/>
        <w:spacing w:before="3"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6"/>
          <w:sz w:val="24"/>
          <w:szCs w:val="24"/>
        </w:rPr>
        <w:t xml:space="preserve">第二条 </w:t>
      </w:r>
      <w:r>
        <w:rPr>
          <w:rFonts w:hint="eastAsia" w:asciiTheme="minorEastAsia" w:hAnsiTheme="minorEastAsia" w:eastAsiaTheme="minorEastAsia" w:cstheme="minorEastAsia"/>
          <w:spacing w:val="-10"/>
          <w:sz w:val="24"/>
          <w:szCs w:val="24"/>
        </w:rPr>
        <w:t>本规定所称政府投资项目，是指在本市行政区域内</w:t>
      </w:r>
      <w:r>
        <w:rPr>
          <w:rFonts w:hint="eastAsia" w:asciiTheme="minorEastAsia" w:hAnsiTheme="minorEastAsia" w:eastAsiaTheme="minorEastAsia" w:cstheme="minorEastAsia"/>
          <w:spacing w:val="-7"/>
          <w:sz w:val="24"/>
          <w:szCs w:val="24"/>
        </w:rPr>
        <w:t>使用财政资金及政府性债务资金进行新建、扩建、改建、技术改造等项目。</w:t>
      </w:r>
    </w:p>
    <w:p>
      <w:pPr>
        <w:pStyle w:val="3"/>
        <w:spacing w:before="4" w:line="338" w:lineRule="auto"/>
        <w:ind w:right="267"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党政、机关办公用房等涉及楼堂馆所项目，应按照国家及省有关规定严格管理。</w:t>
      </w:r>
    </w:p>
    <w:p>
      <w:pPr>
        <w:pStyle w:val="3"/>
        <w:tabs>
          <w:tab w:val="left" w:pos="2039"/>
        </w:tabs>
        <w:spacing w:before="1" w:line="338" w:lineRule="auto"/>
        <w:ind w:right="153"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政府投资的方式包括直接投资</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资本金注入</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投资</w:t>
      </w:r>
      <w:r>
        <w:rPr>
          <w:rFonts w:hint="eastAsia" w:asciiTheme="minorEastAsia" w:hAnsiTheme="minorEastAsia" w:eastAsiaTheme="minorEastAsia" w:cstheme="minorEastAsia"/>
          <w:spacing w:val="-1"/>
          <w:sz w:val="24"/>
          <w:szCs w:val="24"/>
        </w:rPr>
        <w:t>补助、贷款贴息等。对于</w:t>
      </w:r>
      <w:r>
        <w:rPr>
          <w:rFonts w:hint="eastAsia" w:asciiTheme="minorEastAsia" w:hAnsiTheme="minorEastAsia" w:eastAsiaTheme="minorEastAsia" w:cstheme="minorEastAsia"/>
          <w:sz w:val="24"/>
          <w:szCs w:val="24"/>
        </w:rPr>
        <w:t>市本级人民政府事权范围内的公益性、公共基础设施等非经营性项目，可以采用直接投资的方式。</w:t>
      </w:r>
    </w:p>
    <w:p>
      <w:pPr>
        <w:pStyle w:val="3"/>
        <w:spacing w:before="3" w:line="338" w:lineRule="auto"/>
        <w:ind w:right="26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对于经营性公用事业、基础设施等项目，主要采取资本金注入方式，也可以适当采取投资补助、贷款贴息等方式。</w:t>
      </w:r>
    </w:p>
    <w:p>
      <w:pPr>
        <w:pStyle w:val="3"/>
        <w:tabs>
          <w:tab w:val="left" w:pos="2082"/>
        </w:tabs>
        <w:spacing w:before="1" w:line="338" w:lineRule="auto"/>
        <w:ind w:right="10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第四</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政府投资资金应当投向市场不能有效配置资源的</w:t>
      </w:r>
      <w:r>
        <w:rPr>
          <w:rFonts w:hint="eastAsia" w:asciiTheme="minorEastAsia" w:hAnsiTheme="minorEastAsia" w:eastAsiaTheme="minorEastAsia" w:cstheme="minorEastAsia"/>
          <w:spacing w:val="-1"/>
          <w:sz w:val="24"/>
          <w:szCs w:val="24"/>
        </w:rPr>
        <w:t>社会公益服务</w:t>
      </w:r>
      <w:r>
        <w:rPr>
          <w:rFonts w:hint="eastAsia" w:asciiTheme="minorEastAsia" w:hAnsiTheme="minorEastAsia" w:eastAsiaTheme="minorEastAsia" w:cstheme="minorEastAsia"/>
          <w:spacing w:val="-93"/>
          <w:sz w:val="24"/>
          <w:szCs w:val="24"/>
        </w:rPr>
        <w:t>、</w:t>
      </w:r>
      <w:r>
        <w:rPr>
          <w:rFonts w:hint="eastAsia" w:asciiTheme="minorEastAsia" w:hAnsiTheme="minorEastAsia" w:eastAsiaTheme="minorEastAsia" w:cstheme="minorEastAsia"/>
          <w:spacing w:val="-1"/>
          <w:sz w:val="24"/>
          <w:szCs w:val="24"/>
        </w:rPr>
        <w:t>公共基</w:t>
      </w:r>
      <w:r>
        <w:rPr>
          <w:rFonts w:hint="eastAsia" w:asciiTheme="minorEastAsia" w:hAnsiTheme="minorEastAsia" w:eastAsiaTheme="minorEastAsia" w:cstheme="minorEastAsia"/>
          <w:sz w:val="24"/>
          <w:szCs w:val="24"/>
        </w:rPr>
        <w:t>础设施</w:t>
      </w:r>
      <w:r>
        <w:rPr>
          <w:rFonts w:hint="eastAsia" w:asciiTheme="minorEastAsia" w:hAnsiTheme="minorEastAsia" w:eastAsiaTheme="minorEastAsia" w:cstheme="minorEastAsia"/>
          <w:spacing w:val="-93"/>
          <w:sz w:val="24"/>
          <w:szCs w:val="24"/>
        </w:rPr>
        <w:t>、</w:t>
      </w:r>
      <w:r>
        <w:rPr>
          <w:rFonts w:hint="eastAsia" w:asciiTheme="minorEastAsia" w:hAnsiTheme="minorEastAsia" w:eastAsiaTheme="minorEastAsia" w:cstheme="minorEastAsia"/>
          <w:sz w:val="24"/>
          <w:szCs w:val="24"/>
        </w:rPr>
        <w:t>农业农村</w:t>
      </w:r>
      <w:r>
        <w:rPr>
          <w:rFonts w:hint="eastAsia" w:asciiTheme="minorEastAsia" w:hAnsiTheme="minorEastAsia" w:eastAsiaTheme="minorEastAsia" w:cstheme="minorEastAsia"/>
          <w:spacing w:val="-92"/>
          <w:sz w:val="24"/>
          <w:szCs w:val="24"/>
        </w:rPr>
        <w:t>、</w:t>
      </w:r>
      <w:r>
        <w:rPr>
          <w:rFonts w:hint="eastAsia" w:asciiTheme="minorEastAsia" w:hAnsiTheme="minorEastAsia" w:eastAsiaTheme="minorEastAsia" w:cstheme="minorEastAsia"/>
          <w:sz w:val="24"/>
          <w:szCs w:val="24"/>
        </w:rPr>
        <w:t>生态环境保护和修复、重大科技进步</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z w:val="24"/>
          <w:szCs w:val="24"/>
        </w:rPr>
        <w:t>社会管理</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z w:val="24"/>
          <w:szCs w:val="24"/>
        </w:rPr>
        <w:t>国家安全等公共领域的项目</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z w:val="24"/>
          <w:szCs w:val="24"/>
        </w:rPr>
        <w:t>以非经营性为主。</w:t>
      </w:r>
    </w:p>
    <w:p>
      <w:pPr>
        <w:pStyle w:val="3"/>
        <w:spacing w:before="3" w:line="338" w:lineRule="auto"/>
        <w:ind w:right="268" w:firstLine="632"/>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第五条</w:t>
      </w:r>
      <w:r>
        <w:rPr>
          <w:rFonts w:hint="eastAsia" w:asciiTheme="minorEastAsia" w:hAnsiTheme="minorEastAsia" w:eastAsiaTheme="minorEastAsia" w:cstheme="minorEastAsia"/>
          <w:spacing w:val="-10"/>
          <w:sz w:val="24"/>
          <w:szCs w:val="24"/>
          <w:lang w:val="en-US" w:eastAsia="zh-CN"/>
        </w:rPr>
        <w:t xml:space="preserve">   </w:t>
      </w:r>
      <w:r>
        <w:rPr>
          <w:rFonts w:hint="eastAsia" w:asciiTheme="minorEastAsia" w:hAnsiTheme="minorEastAsia" w:eastAsiaTheme="minorEastAsia" w:cstheme="minorEastAsia"/>
          <w:spacing w:val="-10"/>
          <w:sz w:val="24"/>
          <w:szCs w:val="24"/>
        </w:rPr>
        <w:t>政府投资项目应早谋划、早确定，确保前期工作充分准备与扎实推进，建设工期合理编排及按时、保质完成。</w:t>
      </w:r>
    </w:p>
    <w:p>
      <w:pPr>
        <w:pStyle w:val="3"/>
        <w:spacing w:before="170" w:line="338" w:lineRule="auto"/>
        <w:ind w:right="261"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 xml:space="preserve">第六条 </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7"/>
          <w:sz w:val="24"/>
          <w:szCs w:val="24"/>
        </w:rPr>
        <w:t>政府投资资金逐步实行分级切块管理，纳入各园</w:t>
      </w:r>
      <w:r>
        <w:rPr>
          <w:rFonts w:hint="eastAsia" w:asciiTheme="minorEastAsia" w:hAnsiTheme="minorEastAsia" w:eastAsiaTheme="minorEastAsia" w:cstheme="minorEastAsia"/>
          <w:spacing w:val="-11"/>
          <w:sz w:val="24"/>
          <w:szCs w:val="24"/>
        </w:rPr>
        <w:t>区、辖区及行业主管部门的部门预算，由其结合年度政府投资计划统筹安排。</w:t>
      </w:r>
    </w:p>
    <w:p>
      <w:pPr>
        <w:pStyle w:val="3"/>
        <w:spacing w:before="2"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6"/>
          <w:sz w:val="24"/>
          <w:szCs w:val="24"/>
        </w:rPr>
        <w:t xml:space="preserve">第七条 </w:t>
      </w:r>
      <w:r>
        <w:rPr>
          <w:rFonts w:hint="eastAsia" w:asciiTheme="minorEastAsia" w:hAnsiTheme="minorEastAsia" w:eastAsiaTheme="minorEastAsia" w:cstheme="minorEastAsia"/>
          <w:spacing w:val="-8"/>
          <w:sz w:val="24"/>
          <w:szCs w:val="24"/>
        </w:rPr>
        <w:t>项目业主是项目管理的责任主体，原则上由有能力</w:t>
      </w:r>
      <w:r>
        <w:rPr>
          <w:rFonts w:hint="eastAsia" w:asciiTheme="minorEastAsia" w:hAnsiTheme="minorEastAsia" w:eastAsiaTheme="minorEastAsia" w:cstheme="minorEastAsia"/>
          <w:spacing w:val="-5"/>
          <w:sz w:val="24"/>
          <w:szCs w:val="24"/>
        </w:rPr>
        <w:t>的市属国企或行业主管部门</w:t>
      </w:r>
      <w:r>
        <w:rPr>
          <w:rFonts w:hint="eastAsia" w:asciiTheme="minorEastAsia" w:hAnsiTheme="minorEastAsia" w:eastAsiaTheme="minorEastAsia" w:cstheme="minorEastAsia"/>
          <w:sz w:val="24"/>
          <w:szCs w:val="24"/>
        </w:rPr>
        <w:t>（含下属事业单位</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7"/>
          <w:sz w:val="24"/>
          <w:szCs w:val="24"/>
        </w:rPr>
        <w:t>承担，具体由各园区、辖区及行业主管部门报请市政府确定。</w:t>
      </w:r>
    </w:p>
    <w:p>
      <w:pPr>
        <w:pStyle w:val="3"/>
        <w:spacing w:before="3"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7"/>
          <w:sz w:val="24"/>
          <w:szCs w:val="24"/>
        </w:rPr>
        <w:t xml:space="preserve">第八条 </w:t>
      </w:r>
      <w:r>
        <w:rPr>
          <w:rFonts w:hint="eastAsia" w:asciiTheme="minorEastAsia" w:hAnsiTheme="minorEastAsia" w:eastAsiaTheme="minorEastAsia" w:cstheme="minorEastAsia"/>
          <w:spacing w:val="-6"/>
          <w:sz w:val="24"/>
          <w:szCs w:val="24"/>
        </w:rPr>
        <w:t>政府投资项目原则上由项目业主负责建设。除涉及</w:t>
      </w:r>
      <w:r>
        <w:rPr>
          <w:rFonts w:hint="eastAsia" w:asciiTheme="minorEastAsia" w:hAnsiTheme="minorEastAsia" w:eastAsiaTheme="minorEastAsia" w:cstheme="minorEastAsia"/>
          <w:spacing w:val="-13"/>
          <w:sz w:val="24"/>
          <w:szCs w:val="24"/>
        </w:rPr>
        <w:t>国家安全、国家秘密的项目外，不具备自行建设技术及管理条件</w:t>
      </w:r>
      <w:r>
        <w:rPr>
          <w:rFonts w:hint="eastAsia" w:asciiTheme="minorEastAsia" w:hAnsiTheme="minorEastAsia" w:eastAsiaTheme="minorEastAsia" w:cstheme="minorEastAsia"/>
          <w:spacing w:val="-8"/>
          <w:sz w:val="24"/>
          <w:szCs w:val="24"/>
        </w:rPr>
        <w:t>的政府投资项目可以实行代建制，由项目业主按照《海南省政府投资项目代建制管理办法》的有关规定执行。</w:t>
      </w:r>
    </w:p>
    <w:p>
      <w:pPr>
        <w:pStyle w:val="3"/>
        <w:spacing w:before="4" w:line="338" w:lineRule="auto"/>
        <w:ind w:right="267" w:firstLine="632"/>
        <w:jc w:val="both"/>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36"/>
          <w:sz w:val="24"/>
          <w:szCs w:val="24"/>
        </w:rPr>
        <w:t xml:space="preserve">第九条 </w:t>
      </w:r>
      <w:r>
        <w:rPr>
          <w:rFonts w:hint="eastAsia" w:asciiTheme="minorEastAsia" w:hAnsiTheme="minorEastAsia" w:eastAsiaTheme="minorEastAsia" w:cstheme="minorEastAsia"/>
          <w:spacing w:val="-7"/>
          <w:sz w:val="24"/>
          <w:szCs w:val="24"/>
        </w:rPr>
        <w:t>市发改委是市本级政府投资主管部门，负责年度政</w:t>
      </w:r>
      <w:r>
        <w:rPr>
          <w:rFonts w:hint="eastAsia" w:asciiTheme="minorEastAsia" w:hAnsiTheme="minorEastAsia" w:eastAsiaTheme="minorEastAsia" w:cstheme="minorEastAsia"/>
          <w:spacing w:val="-11"/>
          <w:sz w:val="24"/>
          <w:szCs w:val="24"/>
        </w:rPr>
        <w:t>府投资项目计划编制、项目库管理、项目开工前前期工作经费拨付,负责（除农业农村类、信息化类以外）项目建议书、可行性研究报告、概算（含调整）、管线迁改预算的审批,组织申报项目上级专项资金以及开展项目后评价等综合管理工作。</w:t>
      </w:r>
    </w:p>
    <w:p>
      <w:pPr>
        <w:pStyle w:val="3"/>
        <w:spacing w:before="4"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市政府投资项目管理中心负责组织项目前期策划研究、协助</w:t>
      </w:r>
      <w:r>
        <w:rPr>
          <w:rFonts w:hint="eastAsia" w:asciiTheme="minorEastAsia" w:hAnsiTheme="minorEastAsia" w:eastAsiaTheme="minorEastAsia" w:cstheme="minorEastAsia"/>
          <w:spacing w:val="-8"/>
          <w:sz w:val="24"/>
          <w:szCs w:val="24"/>
        </w:rPr>
        <w:t>项目库管理、可行性研究报告评估、概算</w:t>
      </w: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23"/>
          <w:sz w:val="24"/>
          <w:szCs w:val="24"/>
        </w:rPr>
        <w:t>）</w:t>
      </w:r>
      <w:r>
        <w:rPr>
          <w:rFonts w:hint="eastAsia" w:asciiTheme="minorEastAsia" w:hAnsiTheme="minorEastAsia" w:eastAsiaTheme="minorEastAsia" w:cstheme="minorEastAsia"/>
          <w:spacing w:val="-5"/>
          <w:sz w:val="24"/>
          <w:szCs w:val="24"/>
        </w:rPr>
        <w:t>审核、管线迁改预算审核、项目建设管理监督考核等项目管理相关工作。</w:t>
      </w:r>
    </w:p>
    <w:p>
      <w:pPr>
        <w:pStyle w:val="3"/>
        <w:spacing w:before="55" w:line="338" w:lineRule="auto"/>
        <w:ind w:right="26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市财政局负责政府投资项目资金的统筹与拨付、协助行业主</w:t>
      </w:r>
      <w:r>
        <w:rPr>
          <w:rFonts w:hint="eastAsia" w:asciiTheme="minorEastAsia" w:hAnsiTheme="minorEastAsia" w:eastAsiaTheme="minorEastAsia" w:cstheme="minorEastAsia"/>
          <w:spacing w:val="-9"/>
          <w:sz w:val="24"/>
          <w:szCs w:val="24"/>
        </w:rPr>
        <w:t>管部门申报项目上级专项资金、工程竣工决算</w:t>
      </w:r>
      <w:r>
        <w:rPr>
          <w:rFonts w:hint="eastAsia" w:asciiTheme="minorEastAsia" w:hAnsiTheme="minorEastAsia" w:eastAsiaTheme="minorEastAsia" w:cstheme="minorEastAsia"/>
          <w:sz w:val="24"/>
          <w:szCs w:val="24"/>
        </w:rPr>
        <w:t>（含工程结算和竣</w:t>
      </w:r>
      <w:r>
        <w:rPr>
          <w:rFonts w:hint="eastAsia" w:asciiTheme="minorEastAsia" w:hAnsiTheme="minorEastAsia" w:eastAsiaTheme="minorEastAsia" w:cstheme="minorEastAsia"/>
          <w:spacing w:val="-1"/>
          <w:sz w:val="24"/>
          <w:szCs w:val="24"/>
        </w:rPr>
        <w:t>工财务决算</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pacing w:val="-8"/>
          <w:sz w:val="24"/>
          <w:szCs w:val="24"/>
        </w:rPr>
        <w:t>审批，会同行业主管部门在项目全生命周期内进行</w:t>
      </w:r>
      <w:r>
        <w:rPr>
          <w:rFonts w:hint="eastAsia" w:asciiTheme="minorEastAsia" w:hAnsiTheme="minorEastAsia" w:eastAsiaTheme="minorEastAsia" w:cstheme="minorEastAsia"/>
          <w:spacing w:val="-12"/>
          <w:sz w:val="24"/>
          <w:szCs w:val="24"/>
        </w:rPr>
        <w:t>绩效评价，对我市资本金注入项目进行统筹管理，对政府和社会资本合作（PPP）项目进行物有所值评价、财政承受能力论证及PPP</w:t>
      </w:r>
      <w:r>
        <w:rPr>
          <w:rFonts w:hint="eastAsia" w:asciiTheme="minorEastAsia" w:hAnsiTheme="minorEastAsia" w:eastAsiaTheme="minorEastAsia" w:cstheme="minorEastAsia"/>
          <w:spacing w:val="-10"/>
          <w:sz w:val="24"/>
          <w:szCs w:val="24"/>
        </w:rPr>
        <w:t xml:space="preserve"> 综合信息平台管理等。</w:t>
      </w:r>
    </w:p>
    <w:p>
      <w:pPr>
        <w:pStyle w:val="3"/>
        <w:spacing w:before="4" w:line="338" w:lineRule="auto"/>
        <w:ind w:right="259"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市自然资源和规划局负责提供项目建设规划设计条件，出具</w:t>
      </w:r>
      <w:r>
        <w:rPr>
          <w:rFonts w:hint="eastAsia" w:asciiTheme="minorEastAsia" w:hAnsiTheme="minorEastAsia" w:eastAsiaTheme="minorEastAsia" w:cstheme="minorEastAsia"/>
          <w:spacing w:val="7"/>
          <w:sz w:val="24"/>
          <w:szCs w:val="24"/>
        </w:rPr>
        <w:t>建设项目用地预审与选址意见书，办理土地转用征收及供地手</w:t>
      </w:r>
      <w:r>
        <w:rPr>
          <w:rFonts w:hint="eastAsia" w:asciiTheme="minorEastAsia" w:hAnsiTheme="minorEastAsia" w:eastAsiaTheme="minorEastAsia" w:cstheme="minorEastAsia"/>
          <w:spacing w:val="-12"/>
          <w:sz w:val="24"/>
          <w:szCs w:val="24"/>
        </w:rPr>
        <w:t>续、用地规划许可，审查建设项目设计方案和办理建设工程规划许可等。</w:t>
      </w:r>
    </w:p>
    <w:p>
      <w:pPr>
        <w:pStyle w:val="3"/>
        <w:spacing w:before="3"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市住建局负责建设项目</w:t>
      </w:r>
      <w:r>
        <w:rPr>
          <w:rFonts w:hint="eastAsia" w:asciiTheme="minorEastAsia" w:hAnsiTheme="minorEastAsia" w:eastAsiaTheme="minorEastAsia" w:cstheme="minorEastAsia"/>
          <w:sz w:val="24"/>
          <w:szCs w:val="24"/>
        </w:rPr>
        <w:t>（水务、园林、绿化、环卫、林业、交通港航等除外）初步设计（含调整）审批、工程变更审批,负</w:t>
      </w:r>
      <w:r>
        <w:rPr>
          <w:rFonts w:hint="eastAsia" w:asciiTheme="minorEastAsia" w:hAnsiTheme="minorEastAsia" w:eastAsiaTheme="minorEastAsia" w:cstheme="minorEastAsia"/>
          <w:spacing w:val="-10"/>
          <w:sz w:val="24"/>
          <w:szCs w:val="24"/>
        </w:rPr>
        <w:t>责房屋建筑、市政基础设施和人民防空项目招标投标监督、施工许可、工程质量监督及办理竣工验收备案等,负责组织审核国有土地上房屋征收补偿概算等。</w:t>
      </w:r>
    </w:p>
    <w:p>
      <w:pPr>
        <w:pStyle w:val="3"/>
        <w:spacing w:before="55" w:line="338" w:lineRule="auto"/>
        <w:ind w:right="267" w:firstLine="648" w:firstLineChars="300"/>
        <w:jc w:val="both"/>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市审计局依法独立履行政府投资项目预算执行、决算以及有关建设、运营情况审计监督职责，对列入年度审计计划的建设项目进行工程竣工决算（含工程结算和竣工财</w:t>
      </w:r>
    </w:p>
    <w:p>
      <w:pPr>
        <w:pStyle w:val="3"/>
        <w:spacing w:before="55" w:line="338" w:lineRule="auto"/>
        <w:ind w:right="267"/>
        <w:jc w:val="both"/>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务决算）审计，必要时对工程项目进行跟踪审计等。</w:t>
      </w:r>
    </w:p>
    <w:p>
      <w:pPr>
        <w:pStyle w:val="3"/>
        <w:spacing w:before="4" w:line="338" w:lineRule="auto"/>
        <w:ind w:right="266"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市市政局</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市综合行政执法局</w:t>
      </w:r>
      <w:r>
        <w:rPr>
          <w:rFonts w:hint="eastAsia" w:asciiTheme="minorEastAsia" w:hAnsiTheme="minorEastAsia" w:eastAsiaTheme="minorEastAsia" w:cstheme="minorEastAsia"/>
          <w:spacing w:val="-27"/>
          <w:sz w:val="24"/>
          <w:szCs w:val="24"/>
        </w:rPr>
        <w:t>）</w:t>
      </w:r>
      <w:r>
        <w:rPr>
          <w:rFonts w:hint="eastAsia" w:asciiTheme="minorEastAsia" w:hAnsiTheme="minorEastAsia" w:eastAsiaTheme="minorEastAsia" w:cstheme="minorEastAsia"/>
          <w:spacing w:val="-7"/>
          <w:sz w:val="24"/>
          <w:szCs w:val="24"/>
        </w:rPr>
        <w:t>负责城市道路、桥隧、照明</w:t>
      </w:r>
      <w:r>
        <w:rPr>
          <w:rFonts w:hint="eastAsia" w:asciiTheme="minorEastAsia" w:hAnsiTheme="minorEastAsia" w:eastAsiaTheme="minorEastAsia" w:cstheme="minorEastAsia"/>
          <w:spacing w:val="-8"/>
          <w:sz w:val="24"/>
          <w:szCs w:val="24"/>
        </w:rPr>
        <w:t>等市政相关设施的改扩建和养护维修工作，负责管线迁改合规性审查。</w:t>
      </w:r>
    </w:p>
    <w:p>
      <w:pPr>
        <w:pStyle w:val="3"/>
        <w:spacing w:before="3" w:line="338" w:lineRule="auto"/>
        <w:ind w:right="267" w:firstLine="632"/>
        <w:jc w:val="both"/>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6"/>
          <w:sz w:val="24"/>
          <w:szCs w:val="24"/>
        </w:rPr>
        <w:t>市水务局负责水务</w:t>
      </w:r>
      <w:r>
        <w:rPr>
          <w:rFonts w:hint="eastAsia" w:asciiTheme="minorEastAsia" w:hAnsiTheme="minorEastAsia" w:eastAsiaTheme="minorEastAsia" w:cstheme="minorEastAsia"/>
          <w:sz w:val="24"/>
          <w:szCs w:val="24"/>
        </w:rPr>
        <w:t>（利</w:t>
      </w:r>
      <w:r>
        <w:rPr>
          <w:rFonts w:hint="eastAsia" w:asciiTheme="minorEastAsia" w:hAnsiTheme="minorEastAsia" w:eastAsiaTheme="minorEastAsia" w:cstheme="minorEastAsia"/>
          <w:spacing w:val="-37"/>
          <w:sz w:val="24"/>
          <w:szCs w:val="24"/>
        </w:rPr>
        <w:t>）</w:t>
      </w:r>
      <w:r>
        <w:rPr>
          <w:rFonts w:hint="eastAsia" w:asciiTheme="minorEastAsia" w:hAnsiTheme="minorEastAsia" w:eastAsiaTheme="minorEastAsia" w:cstheme="minorEastAsia"/>
          <w:spacing w:val="-19"/>
          <w:sz w:val="24"/>
          <w:szCs w:val="24"/>
        </w:rPr>
        <w:t>工程</w:t>
      </w:r>
      <w:r>
        <w:rPr>
          <w:rFonts w:hint="eastAsia" w:asciiTheme="minorEastAsia" w:hAnsiTheme="minorEastAsia" w:eastAsiaTheme="minorEastAsia" w:cstheme="minorEastAsia"/>
          <w:sz w:val="24"/>
          <w:szCs w:val="24"/>
        </w:rPr>
        <w:t>（含独立建设的城市排水管道</w:t>
      </w:r>
      <w:r>
        <w:rPr>
          <w:rFonts w:hint="eastAsia" w:asciiTheme="minorEastAsia" w:hAnsiTheme="minorEastAsia" w:eastAsiaTheme="minorEastAsia" w:cstheme="minorEastAsia"/>
          <w:spacing w:val="-1"/>
          <w:sz w:val="24"/>
          <w:szCs w:val="24"/>
        </w:rPr>
        <w:t>项目</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pacing w:val="-7"/>
          <w:sz w:val="24"/>
          <w:szCs w:val="24"/>
        </w:rPr>
        <w:t>初步设计</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pacing w:val="-7"/>
          <w:sz w:val="24"/>
          <w:szCs w:val="24"/>
        </w:rPr>
        <w:t>审批、工程变更审批，负责生产建设项目水土保持方案的审批并监督实施。</w:t>
      </w:r>
    </w:p>
    <w:p>
      <w:pPr>
        <w:pStyle w:val="3"/>
        <w:spacing w:before="55"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市园林环卫局负责政府投资园林和环境卫生建设项目初步</w:t>
      </w:r>
      <w:r>
        <w:rPr>
          <w:rFonts w:hint="eastAsia" w:asciiTheme="minorEastAsia" w:hAnsiTheme="minorEastAsia" w:eastAsiaTheme="minorEastAsia" w:cstheme="minorEastAsia"/>
          <w:spacing w:val="-8"/>
          <w:sz w:val="24"/>
          <w:szCs w:val="24"/>
        </w:rPr>
        <w:t>设计审批</w:t>
      </w: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、工程变更审批，负责建设项目配套绿化的方案审核及竣工验收。</w:t>
      </w:r>
    </w:p>
    <w:p>
      <w:pPr>
        <w:pStyle w:val="3"/>
        <w:spacing w:before="4"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市林业局负责林业项目的初步设计审批</w:t>
      </w: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37"/>
          <w:sz w:val="24"/>
          <w:szCs w:val="24"/>
        </w:rPr>
        <w:t>）</w:t>
      </w:r>
      <w:r>
        <w:rPr>
          <w:rFonts w:hint="eastAsia" w:asciiTheme="minorEastAsia" w:hAnsiTheme="minorEastAsia" w:eastAsiaTheme="minorEastAsia" w:cstheme="minorEastAsia"/>
          <w:spacing w:val="-10"/>
          <w:sz w:val="24"/>
          <w:szCs w:val="24"/>
        </w:rPr>
        <w:t>、工程变更审批，负责全市森林、湿地资源、自然保护地的监督管理。</w:t>
      </w:r>
    </w:p>
    <w:p>
      <w:pPr>
        <w:pStyle w:val="3"/>
        <w:spacing w:before="1" w:line="338" w:lineRule="auto"/>
        <w:ind w:right="11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市交通港航局负责农村公路项目的初步设计审批</w:t>
      </w: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135"/>
          <w:sz w:val="24"/>
          <w:szCs w:val="24"/>
        </w:rPr>
        <w:t>）</w:t>
      </w:r>
      <w:r>
        <w:rPr>
          <w:rFonts w:hint="eastAsia" w:asciiTheme="minorEastAsia" w:hAnsiTheme="minorEastAsia" w:eastAsiaTheme="minorEastAsia" w:cstheme="minorEastAsia"/>
          <w:sz w:val="24"/>
          <w:szCs w:val="24"/>
        </w:rPr>
        <w:t>、工程变更审批，负责农村公路的规划建设、养护和管理。</w:t>
      </w:r>
    </w:p>
    <w:p>
      <w:pPr>
        <w:pStyle w:val="3"/>
        <w:spacing w:before="2" w:line="338" w:lineRule="auto"/>
        <w:ind w:right="10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市生态环境局负责生态环境准入的监督管理，按管理权限组</w:t>
      </w:r>
      <w:r>
        <w:rPr>
          <w:rFonts w:hint="eastAsia" w:asciiTheme="minorEastAsia" w:hAnsiTheme="minorEastAsia" w:eastAsiaTheme="minorEastAsia" w:cstheme="minorEastAsia"/>
          <w:spacing w:val="-18"/>
          <w:sz w:val="24"/>
          <w:szCs w:val="24"/>
        </w:rPr>
        <w:t>织审批或审查重点开发建设区域、规划、项目环境影响评价文件。</w:t>
      </w:r>
    </w:p>
    <w:p>
      <w:pPr>
        <w:pStyle w:val="3"/>
        <w:spacing w:before="2" w:line="338" w:lineRule="auto"/>
        <w:ind w:right="262"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交警、应急等部门按各自职责依法对政府投资项目进行管理、监督和检查，并做好衔接和协调服务。</w:t>
      </w:r>
    </w:p>
    <w:p>
      <w:pPr>
        <w:pStyle w:val="3"/>
        <w:spacing w:before="1"/>
        <w:ind w:left="32" w:right="17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项目投资决策</w:t>
      </w:r>
    </w:p>
    <w:p>
      <w:pPr>
        <w:pStyle w:val="3"/>
        <w:spacing w:before="169"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7"/>
          <w:sz w:val="24"/>
          <w:szCs w:val="24"/>
        </w:rPr>
        <w:t xml:space="preserve">第十条 </w:t>
      </w:r>
      <w:r>
        <w:rPr>
          <w:rFonts w:hint="eastAsia" w:asciiTheme="minorEastAsia" w:hAnsiTheme="minorEastAsia" w:eastAsiaTheme="minorEastAsia" w:cstheme="minorEastAsia"/>
          <w:spacing w:val="-8"/>
          <w:sz w:val="24"/>
          <w:szCs w:val="24"/>
        </w:rPr>
        <w:t>国民经济和社会发展规划、海口市总体规划</w:t>
      </w:r>
      <w:r>
        <w:rPr>
          <w:rFonts w:hint="eastAsia" w:asciiTheme="minorEastAsia" w:hAnsiTheme="minorEastAsia" w:eastAsiaTheme="minorEastAsia" w:cstheme="minorEastAsia"/>
          <w:sz w:val="24"/>
          <w:szCs w:val="24"/>
        </w:rPr>
        <w:t>（空间</w:t>
      </w:r>
      <w:r>
        <w:rPr>
          <w:rFonts w:hint="eastAsia" w:asciiTheme="minorEastAsia" w:hAnsiTheme="minorEastAsia" w:eastAsiaTheme="minorEastAsia" w:cstheme="minorEastAsia"/>
          <w:spacing w:val="-1"/>
          <w:sz w:val="24"/>
          <w:szCs w:val="24"/>
        </w:rPr>
        <w:t>类</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pacing w:val="-10"/>
          <w:sz w:val="24"/>
          <w:szCs w:val="24"/>
        </w:rPr>
        <w:t>、区域发展规划、财政中长期支出规划及市本级财政预算是政府投资项目决策的主要依据。</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采用直接投资和资本金注入方式的政府投资建设项目，应当按照政府投资管理权限和规定的程序进行审批。</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 xml:space="preserve">第十二条 </w:t>
      </w:r>
      <w:r>
        <w:rPr>
          <w:rFonts w:hint="eastAsia" w:asciiTheme="minorEastAsia" w:hAnsiTheme="minorEastAsia" w:eastAsiaTheme="minorEastAsia" w:cstheme="minorEastAsia"/>
          <w:spacing w:val="7"/>
          <w:sz w:val="24"/>
          <w:szCs w:val="24"/>
        </w:rPr>
        <w:t>项目前期工作和年度目标完成情况纳入项目业</w:t>
      </w:r>
      <w:r>
        <w:rPr>
          <w:rFonts w:hint="eastAsia" w:asciiTheme="minorEastAsia" w:hAnsiTheme="minorEastAsia" w:eastAsiaTheme="minorEastAsia" w:cstheme="minorEastAsia"/>
          <w:spacing w:val="-17"/>
          <w:sz w:val="24"/>
          <w:szCs w:val="24"/>
        </w:rPr>
        <w:t>主的绩效考核，项目业主在项目实施过程中履行以下主要职责：</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（一）在项目前期研究阶段提出项目建设的规模、功能要求；</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（二）组织项目建议书、可行性研究报告、初步设计及概算</w:t>
      </w:r>
      <w:r>
        <w:rPr>
          <w:rFonts w:hint="eastAsia" w:asciiTheme="minorEastAsia" w:hAnsiTheme="minorEastAsia" w:eastAsiaTheme="minorEastAsia" w:cstheme="minorEastAsia"/>
          <w:spacing w:val="-12"/>
          <w:sz w:val="24"/>
          <w:szCs w:val="24"/>
        </w:rPr>
        <w:t>的编制，并对报告的深度、质量和真实性负责；负责办理前期报批手续；</w:t>
      </w:r>
    </w:p>
    <w:p>
      <w:pPr>
        <w:pStyle w:val="3"/>
        <w:spacing w:before="2"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6"/>
          <w:sz w:val="24"/>
          <w:szCs w:val="24"/>
        </w:rPr>
        <w:t>依据概算严格控制工程投资，审核设计变更方案，依法办理相关变更手续；</w:t>
      </w:r>
    </w:p>
    <w:p>
      <w:pPr>
        <w:pStyle w:val="3"/>
        <w:spacing w:before="2"/>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（四）组织、监督与项目有关的招标投标工作；</w:t>
      </w:r>
    </w:p>
    <w:p>
      <w:pPr>
        <w:pStyle w:val="3"/>
        <w:spacing w:before="170"/>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（五）申拨项目资金，监督政府投资项目资金的使用情况；</w:t>
      </w:r>
    </w:p>
    <w:p>
      <w:pPr>
        <w:pStyle w:val="3"/>
        <w:spacing w:before="168" w:line="338" w:lineRule="auto"/>
        <w:ind w:right="26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（六</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监督项目的工程质量安全和施工进度，参加项目各阶段验收，并负责组织项目竣工验收，办理结算、决算；</w:t>
      </w:r>
    </w:p>
    <w:p>
      <w:pPr>
        <w:pStyle w:val="3"/>
        <w:spacing w:before="2"/>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（七）组织项目的账务、资料、产权、管养等移交工作；</w:t>
      </w:r>
    </w:p>
    <w:p>
      <w:pPr>
        <w:pStyle w:val="3"/>
        <w:spacing w:before="169"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（八）对政府投资项目具体实施情况及报账资料的真实性、合法性、完整性负责；</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（九）统筹项目全过程的建设协调，承担其他相应职责。第十三</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市发改委对项目业主报送的项目建议书进行审批。</w:t>
      </w:r>
      <w:r>
        <w:rPr>
          <w:rFonts w:hint="eastAsia" w:asciiTheme="minorEastAsia" w:hAnsiTheme="minorEastAsia" w:eastAsiaTheme="minorEastAsia" w:cstheme="minorEastAsia"/>
          <w:sz w:val="24"/>
          <w:szCs w:val="24"/>
        </w:rPr>
        <w:t>项目建议书应对项目建设的必要性、</w:t>
      </w:r>
      <w:r>
        <w:rPr>
          <w:rFonts w:hint="eastAsia" w:asciiTheme="minorEastAsia" w:hAnsiTheme="minorEastAsia" w:eastAsiaTheme="minorEastAsia" w:cstheme="minorEastAsia"/>
          <w:sz w:val="24"/>
          <w:szCs w:val="24"/>
        </w:rPr>
        <w:t>主要建设内容、</w:t>
      </w:r>
      <w:r>
        <w:rPr>
          <w:rFonts w:hint="eastAsia" w:asciiTheme="minorEastAsia" w:hAnsiTheme="minorEastAsia" w:eastAsiaTheme="minorEastAsia" w:cstheme="minorEastAsia"/>
          <w:sz w:val="24"/>
          <w:szCs w:val="24"/>
        </w:rPr>
        <w:t>拟建地点、拟建规模、投资匡算、资金筹措以及社会效益和经济效益等进行研究，编制的格式、内容和深度须达到和符合有关规定、规范的要求。</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对拟建项目场地工程地质条件复杂，已有资料不能满足项目技术经济论证和方案比较时，项目业主在取得规划设计条件后， 可向市发改委申请提前开展地质勘察、方案设计工作。</w:t>
      </w:r>
    </w:p>
    <w:p>
      <w:pPr>
        <w:pStyle w:val="3"/>
        <w:numPr>
          <w:ilvl w:val="0"/>
          <w:numId w:val="1"/>
        </w:numPr>
        <w:tabs>
          <w:tab w:val="left" w:pos="2411"/>
        </w:tabs>
        <w:spacing w:before="2" w:line="338" w:lineRule="auto"/>
        <w:ind w:right="262"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市发改委对项目业主报送的可行性研究报告</w:t>
      </w:r>
      <w:r>
        <w:rPr>
          <w:rFonts w:hint="eastAsia" w:asciiTheme="minorEastAsia" w:hAnsiTheme="minorEastAsia" w:eastAsiaTheme="minorEastAsia" w:cstheme="minorEastAsia"/>
          <w:spacing w:val="-9"/>
          <w:sz w:val="24"/>
          <w:szCs w:val="24"/>
        </w:rPr>
        <w:t>进</w:t>
      </w:r>
      <w:r>
        <w:rPr>
          <w:rFonts w:hint="eastAsia" w:asciiTheme="minorEastAsia" w:hAnsiTheme="minorEastAsia" w:eastAsiaTheme="minorEastAsia" w:cstheme="minorEastAsia"/>
          <w:sz w:val="24"/>
          <w:szCs w:val="24"/>
        </w:rPr>
        <w:t>行审批。</w:t>
      </w:r>
    </w:p>
    <w:p>
      <w:pPr>
        <w:pStyle w:val="3"/>
        <w:spacing w:before="55"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可行性研究报告应对项目建设的必要性、技术的可行性、经</w:t>
      </w:r>
      <w:r>
        <w:rPr>
          <w:rFonts w:hint="eastAsia" w:asciiTheme="minorEastAsia" w:hAnsiTheme="minorEastAsia" w:eastAsiaTheme="minorEastAsia" w:cstheme="minorEastAsia"/>
          <w:spacing w:val="-9"/>
          <w:sz w:val="24"/>
          <w:szCs w:val="24"/>
        </w:rPr>
        <w:t>济合理性以及社会经济效益、节能和资源综合利用、生态环境影</w:t>
      </w:r>
      <w:r>
        <w:rPr>
          <w:rFonts w:hint="eastAsia" w:asciiTheme="minorEastAsia" w:hAnsiTheme="minorEastAsia" w:eastAsiaTheme="minorEastAsia" w:cstheme="minorEastAsia"/>
          <w:spacing w:val="-12"/>
          <w:sz w:val="24"/>
          <w:szCs w:val="24"/>
        </w:rPr>
        <w:t>响、社会稳定风险等进行全面分析论证，落实各项建设和运行保</w:t>
      </w:r>
      <w:r>
        <w:rPr>
          <w:rFonts w:hint="eastAsia" w:asciiTheme="minorEastAsia" w:hAnsiTheme="minorEastAsia" w:eastAsiaTheme="minorEastAsia" w:cstheme="minorEastAsia"/>
          <w:spacing w:val="-11"/>
          <w:sz w:val="24"/>
          <w:szCs w:val="24"/>
        </w:rPr>
        <w:t>障条件，并按照有关规定取得相关许可、审查意见。可行性研究报告的编制格式、内容和深度应当达到国家规定要求。</w:t>
      </w:r>
    </w:p>
    <w:p>
      <w:pPr>
        <w:pStyle w:val="3"/>
        <w:spacing w:before="5" w:line="338" w:lineRule="auto"/>
        <w:ind w:right="10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第十五条  政府投资项目可行性研究报告应当委托具备相</w:t>
      </w:r>
      <w:r>
        <w:rPr>
          <w:rFonts w:hint="eastAsia" w:asciiTheme="minorEastAsia" w:hAnsiTheme="minorEastAsia" w:eastAsiaTheme="minorEastAsia" w:cstheme="minorEastAsia"/>
          <w:spacing w:val="-7"/>
          <w:sz w:val="24"/>
          <w:szCs w:val="24"/>
        </w:rPr>
        <w:t>应资质的工程咨询机构开展咨询评估。工程咨询机构应当实事求</w:t>
      </w:r>
      <w:r>
        <w:rPr>
          <w:rFonts w:hint="eastAsia" w:asciiTheme="minorEastAsia" w:hAnsiTheme="minorEastAsia" w:eastAsiaTheme="minorEastAsia" w:cstheme="minorEastAsia"/>
          <w:spacing w:val="-18"/>
          <w:sz w:val="24"/>
          <w:szCs w:val="24"/>
        </w:rPr>
        <w:t>是、客观公正的组织项目评估，并对其出具的评估报告结论负责。</w:t>
      </w:r>
    </w:p>
    <w:p>
      <w:pPr>
        <w:pStyle w:val="3"/>
        <w:spacing w:before="3"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经批准的可行性研究报告是确定建设项目的依据，其审批确</w:t>
      </w:r>
      <w:r>
        <w:rPr>
          <w:rFonts w:hint="eastAsia" w:asciiTheme="minorEastAsia" w:hAnsiTheme="minorEastAsia" w:eastAsiaTheme="minorEastAsia" w:cstheme="minorEastAsia"/>
          <w:spacing w:val="-13"/>
          <w:sz w:val="24"/>
          <w:szCs w:val="24"/>
        </w:rPr>
        <w:t>定的建设内容、建设标准、建设规模及投资估算是作为年度政府投资项目计划资金安排的主要凭据。</w:t>
      </w:r>
    </w:p>
    <w:p>
      <w:pPr>
        <w:pStyle w:val="3"/>
        <w:tabs>
          <w:tab w:val="left" w:pos="2359"/>
        </w:tabs>
        <w:spacing w:before="3"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初步设计实行</w:t>
      </w:r>
      <w:r>
        <w:rPr>
          <w:rFonts w:hint="eastAsia" w:asciiTheme="minorEastAsia" w:hAnsiTheme="minorEastAsia" w:eastAsiaTheme="minorEastAsia" w:cstheme="minorEastAsia"/>
          <w:sz w:val="24"/>
          <w:szCs w:val="24"/>
        </w:rPr>
        <w:t>限额设计。市住建局、市水务局、市园林环卫局</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市林业局</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市交通港航局等行业主管部门对项目业主报送的初步设计进行审批后，由市发改委审批概算。</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初步设计应当符合国家有关规定和可行性研究报告批复文</w:t>
      </w:r>
      <w:r>
        <w:rPr>
          <w:rFonts w:hint="eastAsia" w:asciiTheme="minorEastAsia" w:hAnsiTheme="minorEastAsia" w:eastAsiaTheme="minorEastAsia" w:cstheme="minorEastAsia"/>
          <w:spacing w:val="-10"/>
          <w:sz w:val="24"/>
          <w:szCs w:val="24"/>
        </w:rPr>
        <w:t>件的有关要求，明确各单项工程或者单位工程的建设内容、建设</w:t>
      </w:r>
      <w:r>
        <w:rPr>
          <w:rFonts w:hint="eastAsia" w:asciiTheme="minorEastAsia" w:hAnsiTheme="minorEastAsia" w:eastAsiaTheme="minorEastAsia" w:cstheme="minorEastAsia"/>
          <w:spacing w:val="-12"/>
          <w:sz w:val="24"/>
          <w:szCs w:val="24"/>
        </w:rPr>
        <w:t>规模、建设标准、用地规模、主要材料、设备规格和技术参数等设计方案，并据此编制投资概算。</w:t>
      </w:r>
    </w:p>
    <w:p>
      <w:pPr>
        <w:pStyle w:val="3"/>
        <w:spacing w:before="3"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投资概算应当包括工程费、设备及工具器具购置费、工程建</w:t>
      </w:r>
      <w:r>
        <w:rPr>
          <w:rFonts w:hint="eastAsia" w:asciiTheme="minorEastAsia" w:hAnsiTheme="minorEastAsia" w:eastAsiaTheme="minorEastAsia" w:cstheme="minorEastAsia"/>
          <w:spacing w:val="-13"/>
          <w:sz w:val="24"/>
          <w:szCs w:val="24"/>
        </w:rPr>
        <w:t>设其他费、土地房屋征收补偿费、预备费等项目建设所需的相关费用。</w:t>
      </w:r>
    </w:p>
    <w:p>
      <w:pPr>
        <w:pStyle w:val="3"/>
        <w:spacing w:before="55" w:line="338" w:lineRule="auto"/>
        <w:ind w:right="25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概算工程费用原则上不得超过可行性研究报告</w:t>
      </w:r>
      <w:r>
        <w:rPr>
          <w:rFonts w:hint="eastAsia" w:asciiTheme="minorEastAsia" w:hAnsiTheme="minorEastAsia" w:eastAsiaTheme="minorEastAsia" w:cstheme="minorEastAsia"/>
          <w:spacing w:val="-10"/>
          <w:sz w:val="24"/>
          <w:szCs w:val="24"/>
        </w:rPr>
        <w:t xml:space="preserve">批复的工程费用，超过 </w:t>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pacing w:val="-5"/>
          <w:sz w:val="24"/>
          <w:szCs w:val="24"/>
        </w:rPr>
        <w:t>的，或者建设地点、建设规模、技术</w:t>
      </w:r>
      <w:r>
        <w:rPr>
          <w:rFonts w:hint="eastAsia" w:asciiTheme="minorEastAsia" w:hAnsiTheme="minorEastAsia" w:eastAsiaTheme="minorEastAsia" w:cstheme="minorEastAsia"/>
          <w:spacing w:val="7"/>
          <w:sz w:val="24"/>
          <w:szCs w:val="24"/>
        </w:rPr>
        <w:t>方案等发生重大变更的，项目业主应当重新报批可行性研究报</w:t>
      </w:r>
      <w:r>
        <w:rPr>
          <w:rFonts w:hint="eastAsia" w:asciiTheme="minorEastAsia" w:hAnsiTheme="minorEastAsia" w:eastAsiaTheme="minorEastAsia" w:cstheme="minorEastAsia"/>
          <w:sz w:val="24"/>
          <w:szCs w:val="24"/>
        </w:rPr>
        <w:t>告。</w:t>
      </w:r>
    </w:p>
    <w:p>
      <w:pPr>
        <w:pStyle w:val="3"/>
        <w:spacing w:before="4"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经审批的投资概算是项目建设实施和控制项目总投资，以及安排财政预算、拨付资金的依据。</w:t>
      </w:r>
    </w:p>
    <w:p>
      <w:pPr>
        <w:pStyle w:val="3"/>
        <w:spacing w:before="1"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政府投资项目概算应该委托具备相应能力的造价审核机构</w:t>
      </w:r>
      <w:r>
        <w:rPr>
          <w:rFonts w:hint="eastAsia" w:asciiTheme="minorEastAsia" w:hAnsiTheme="minorEastAsia" w:eastAsiaTheme="minorEastAsia" w:cstheme="minorEastAsia"/>
          <w:spacing w:val="-11"/>
          <w:sz w:val="24"/>
          <w:szCs w:val="24"/>
        </w:rPr>
        <w:t>开展审核。造价审核机构应当实事求是、客观公正的组织项目审核，并对其出具的审核报告结论负责。</w:t>
      </w:r>
    </w:p>
    <w:p>
      <w:pPr>
        <w:pStyle w:val="3"/>
        <w:spacing w:before="3"/>
        <w:ind w:left="76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政府投资项目遵循流程优化、审批从简的原则。</w:t>
      </w:r>
    </w:p>
    <w:p>
      <w:pPr>
        <w:pStyle w:val="3"/>
        <w:spacing w:before="169"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8"/>
          <w:sz w:val="24"/>
          <w:szCs w:val="24"/>
        </w:rPr>
        <w:t>有下列情形之一的，可将项目建议书、可行性研究报</w:t>
      </w:r>
      <w:r>
        <w:rPr>
          <w:rFonts w:hint="eastAsia" w:asciiTheme="minorEastAsia" w:hAnsiTheme="minorEastAsia" w:eastAsiaTheme="minorEastAsia" w:cstheme="minorEastAsia"/>
          <w:spacing w:val="-17"/>
          <w:sz w:val="24"/>
          <w:szCs w:val="24"/>
        </w:rPr>
        <w:t xml:space="preserve">告、初步设计、概算 </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13"/>
          <w:sz w:val="24"/>
          <w:szCs w:val="24"/>
        </w:rPr>
        <w:t xml:space="preserve"> 个环节审批手续，合并为初步设计、概算</w:t>
      </w:r>
      <w:r>
        <w:rPr>
          <w:rFonts w:hint="eastAsia" w:asciiTheme="minorEastAsia" w:hAnsiTheme="minorEastAsia" w:eastAsiaTheme="minorEastAsia" w:cstheme="minorEastAsia"/>
          <w:sz w:val="24"/>
          <w:szCs w:val="24"/>
        </w:rPr>
        <w:t>2个环节审批：</w:t>
      </w:r>
    </w:p>
    <w:p>
      <w:pPr>
        <w:pStyle w:val="8"/>
        <w:numPr>
          <w:ilvl w:val="0"/>
          <w:numId w:val="2"/>
        </w:numPr>
        <w:tabs>
          <w:tab w:val="left" w:pos="1082"/>
        </w:tabs>
        <w:spacing w:before="168" w:after="0" w:line="240" w:lineRule="auto"/>
        <w:ind w:left="1081" w:right="0" w:hanging="32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 xml:space="preserve">总投资在 </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pacing w:val="-28"/>
          <w:sz w:val="24"/>
          <w:szCs w:val="24"/>
        </w:rPr>
        <w:t xml:space="preserve"> 万元</w:t>
      </w:r>
      <w:r>
        <w:rPr>
          <w:rFonts w:hint="eastAsia" w:asciiTheme="minorEastAsia" w:hAnsiTheme="minorEastAsia" w:eastAsiaTheme="minorEastAsia" w:cstheme="minorEastAsia"/>
          <w:sz w:val="24"/>
          <w:szCs w:val="24"/>
        </w:rPr>
        <w:t>（含）以下的项目；</w:t>
      </w:r>
    </w:p>
    <w:p>
      <w:pPr>
        <w:pStyle w:val="8"/>
        <w:numPr>
          <w:ilvl w:val="0"/>
          <w:numId w:val="2"/>
        </w:numPr>
        <w:tabs>
          <w:tab w:val="left" w:pos="1082"/>
        </w:tabs>
        <w:spacing w:before="170" w:after="0" w:line="338" w:lineRule="auto"/>
        <w:ind w:left="127" w:right="268" w:firstLine="63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为应对自然灾害、事故灾难、公共卫生事件、社会安全事件等突发事件需要紧急建设的项目。</w:t>
      </w:r>
    </w:p>
    <w:p>
      <w:pPr>
        <w:pStyle w:val="3"/>
        <w:spacing w:before="2" w:line="338" w:lineRule="auto"/>
        <w:ind w:right="109"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6"/>
          <w:sz w:val="24"/>
          <w:szCs w:val="24"/>
        </w:rPr>
        <w:t>单纯设备购置类项目，经行业主管部门审核后，由项</w:t>
      </w:r>
      <w:r>
        <w:rPr>
          <w:rFonts w:hint="eastAsia" w:asciiTheme="minorEastAsia" w:hAnsiTheme="minorEastAsia" w:eastAsiaTheme="minorEastAsia" w:cstheme="minorEastAsia"/>
          <w:spacing w:val="7"/>
          <w:sz w:val="24"/>
          <w:szCs w:val="24"/>
        </w:rPr>
        <w:t>目业主按照政府采购等相关规定直接向市财政局申请办理设备</w:t>
      </w:r>
      <w:r>
        <w:rPr>
          <w:rFonts w:hint="eastAsia" w:asciiTheme="minorEastAsia" w:hAnsiTheme="minorEastAsia" w:eastAsiaTheme="minorEastAsia" w:cstheme="minorEastAsia"/>
          <w:spacing w:val="-19"/>
          <w:sz w:val="24"/>
          <w:szCs w:val="24"/>
        </w:rPr>
        <w:t>购置，不再审批项目建议书、可行性研究报告、初步设计及概算。</w:t>
      </w:r>
    </w:p>
    <w:p>
      <w:pPr>
        <w:pStyle w:val="3"/>
        <w:spacing w:before="2"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7"/>
          <w:sz w:val="24"/>
          <w:szCs w:val="24"/>
        </w:rPr>
        <w:t>党政机关和公益一类、二类事业单位办公业务用房维</w:t>
      </w:r>
      <w:r>
        <w:rPr>
          <w:rFonts w:hint="eastAsia" w:asciiTheme="minorEastAsia" w:hAnsiTheme="minorEastAsia" w:eastAsiaTheme="minorEastAsia" w:cstheme="minorEastAsia"/>
          <w:spacing w:val="-11"/>
          <w:sz w:val="24"/>
          <w:szCs w:val="24"/>
        </w:rPr>
        <w:t>修改造，由市机关事务管理局或行业主管部门审批，并按财政部门支出标准执行。</w:t>
      </w:r>
    </w:p>
    <w:p>
      <w:pPr>
        <w:pStyle w:val="3"/>
        <w:spacing w:before="55" w:line="338" w:lineRule="auto"/>
        <w:ind w:right="26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（四）符合国民经济和社会发展中长期规划及有关专项规</w:t>
      </w:r>
      <w:r>
        <w:rPr>
          <w:rFonts w:hint="eastAsia" w:asciiTheme="minorEastAsia" w:hAnsiTheme="minorEastAsia" w:eastAsiaTheme="minorEastAsia" w:cstheme="minorEastAsia"/>
          <w:spacing w:val="-10"/>
          <w:sz w:val="24"/>
          <w:szCs w:val="24"/>
        </w:rPr>
        <w:t xml:space="preserve">划，总投资在 </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pacing w:val="-9"/>
          <w:sz w:val="24"/>
          <w:szCs w:val="24"/>
        </w:rPr>
        <w:t xml:space="preserve"> 万元以上的路网、光网、电网、气网、水网</w:t>
      </w:r>
      <w:r>
        <w:rPr>
          <w:rFonts w:hint="eastAsia" w:asciiTheme="minorEastAsia" w:hAnsiTheme="minorEastAsia" w:eastAsiaTheme="minorEastAsia" w:cstheme="minorEastAsia"/>
          <w:spacing w:val="-12"/>
          <w:sz w:val="24"/>
          <w:szCs w:val="24"/>
        </w:rPr>
        <w:t>等“五网”项目，经市自然资源和规划部门确认后，不再审批项目建议书，以规划代项目建议书审批。涉及中央资金项目或不宜适用简化程序的国家、省级重点项目除外。</w:t>
      </w:r>
    </w:p>
    <w:p>
      <w:pPr>
        <w:pStyle w:val="3"/>
        <w:spacing w:before="4"/>
        <w:ind w:left="76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项目建议书、可行性研究报告、初步设计、概算</w:t>
      </w:r>
    </w:p>
    <w:p>
      <w:pPr>
        <w:pStyle w:val="3"/>
        <w:spacing w:before="170" w:line="338" w:lineRule="auto"/>
        <w:ind w:right="27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（含调整</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pacing w:val="-10"/>
          <w:sz w:val="24"/>
          <w:szCs w:val="24"/>
        </w:rPr>
        <w:t xml:space="preserve">的审批文件有效期 </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14"/>
          <w:sz w:val="24"/>
          <w:szCs w:val="24"/>
        </w:rPr>
        <w:t xml:space="preserve"> 年，建设周期长的保障房、土地储备项目除外。</w:t>
      </w:r>
    </w:p>
    <w:p>
      <w:pPr>
        <w:pStyle w:val="3"/>
        <w:spacing w:before="1"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有效期内完成下一阶段审批工作的审批文件持续有效。有效</w:t>
      </w:r>
      <w:r>
        <w:rPr>
          <w:rFonts w:hint="eastAsia" w:asciiTheme="minorEastAsia" w:hAnsiTheme="minorEastAsia" w:eastAsiaTheme="minorEastAsia" w:cstheme="minorEastAsia"/>
          <w:spacing w:val="-16"/>
          <w:sz w:val="24"/>
          <w:szCs w:val="24"/>
        </w:rPr>
        <w:t xml:space="preserve">期届满前未能取得下一阶段批复文件的，应在有效期满前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29"/>
          <w:sz w:val="24"/>
          <w:szCs w:val="24"/>
        </w:rPr>
        <w:t xml:space="preserve"> 个月</w:t>
      </w:r>
    </w:p>
    <w:p>
      <w:pPr>
        <w:pStyle w:val="3"/>
        <w:spacing w:before="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内向市发改委申请延期，原则上予以延期 1 次。</w:t>
      </w:r>
    </w:p>
    <w:p>
      <w:pPr>
        <w:pStyle w:val="3"/>
        <w:spacing w:before="169" w:line="338" w:lineRule="auto"/>
        <w:ind w:right="270"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采取投资补助和贷款贴息等方式的项目，按照国家、省有关规定办理手续。</w:t>
      </w:r>
    </w:p>
    <w:p>
      <w:pPr>
        <w:pStyle w:val="3"/>
        <w:spacing w:before="1"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 xml:space="preserve">第二十二条 </w:t>
      </w:r>
      <w:r>
        <w:rPr>
          <w:rFonts w:hint="eastAsia" w:asciiTheme="minorEastAsia" w:hAnsiTheme="minorEastAsia" w:eastAsiaTheme="minorEastAsia" w:cstheme="minorEastAsia"/>
          <w:spacing w:val="-7"/>
          <w:sz w:val="24"/>
          <w:szCs w:val="24"/>
        </w:rPr>
        <w:t>大型公共建筑工程及其他重点项目，鼓励进行</w:t>
      </w:r>
      <w:r>
        <w:rPr>
          <w:rFonts w:hint="eastAsia" w:asciiTheme="minorEastAsia" w:hAnsiTheme="minorEastAsia" w:eastAsiaTheme="minorEastAsia" w:cstheme="minorEastAsia"/>
          <w:spacing w:val="-12"/>
          <w:sz w:val="24"/>
          <w:szCs w:val="24"/>
        </w:rPr>
        <w:t>设计方案比选，由项目业主制定比选方案报市政府分管副市长同意后实施。</w:t>
      </w:r>
    </w:p>
    <w:p>
      <w:pPr>
        <w:pStyle w:val="3"/>
        <w:spacing w:before="4" w:line="338" w:lineRule="auto"/>
        <w:ind w:right="270"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对经评审合格入围的设计方案，项目业主可结合项目实际给予不同程度的激励补偿。激励补偿费在项目总投资中列支。</w:t>
      </w:r>
    </w:p>
    <w:p>
      <w:pPr>
        <w:pStyle w:val="3"/>
        <w:spacing w:before="3"/>
        <w:ind w:left="0"/>
        <w:rPr>
          <w:rFonts w:hint="eastAsia" w:asciiTheme="minorEastAsia" w:hAnsiTheme="minorEastAsia" w:eastAsiaTheme="minorEastAsia" w:cstheme="minorEastAsia"/>
          <w:sz w:val="24"/>
          <w:szCs w:val="24"/>
        </w:rPr>
      </w:pPr>
    </w:p>
    <w:p>
      <w:pPr>
        <w:pStyle w:val="3"/>
        <w:ind w:left="32" w:right="17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计划储备与制定</w:t>
      </w:r>
    </w:p>
    <w:p>
      <w:pPr>
        <w:pStyle w:val="3"/>
        <w:tabs>
          <w:tab w:val="left" w:pos="2679"/>
        </w:tabs>
        <w:spacing w:before="170"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政府投资项</w:t>
      </w:r>
      <w:r>
        <w:rPr>
          <w:rFonts w:hint="eastAsia" w:asciiTheme="minorEastAsia" w:hAnsiTheme="minorEastAsia" w:eastAsiaTheme="minorEastAsia" w:cstheme="minorEastAsia"/>
          <w:sz w:val="24"/>
          <w:szCs w:val="24"/>
        </w:rPr>
        <w:t>目计划应本着量入为出的原则</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与市本级财政预算相衔接，通过建立项目库进行动态管理。</w:t>
      </w:r>
    </w:p>
    <w:p>
      <w:pPr>
        <w:pStyle w:val="3"/>
        <w:tabs>
          <w:tab w:val="left" w:pos="2679"/>
        </w:tabs>
        <w:spacing w:before="170"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各园区、辖区及行业主管部门依据本部门编制</w:t>
      </w:r>
      <w:r>
        <w:rPr>
          <w:rFonts w:hint="eastAsia" w:asciiTheme="minorEastAsia" w:hAnsiTheme="minorEastAsia" w:eastAsiaTheme="minorEastAsia" w:cstheme="minorEastAsia"/>
          <w:spacing w:val="-10"/>
          <w:sz w:val="24"/>
          <w:szCs w:val="24"/>
        </w:rPr>
        <w:t>的五年发展规划，提出“建设项目五年规划”；在满足城市国土</w:t>
      </w:r>
      <w:r>
        <w:rPr>
          <w:rFonts w:hint="eastAsia" w:asciiTheme="minorEastAsia" w:hAnsiTheme="minorEastAsia" w:eastAsiaTheme="minorEastAsia" w:cstheme="minorEastAsia"/>
          <w:spacing w:val="-11"/>
          <w:sz w:val="24"/>
          <w:szCs w:val="24"/>
        </w:rPr>
        <w:t>空间总体规划、专项规划的基础上，结合国家、省投资政策方向</w:t>
      </w:r>
      <w:r>
        <w:rPr>
          <w:rFonts w:hint="eastAsia" w:asciiTheme="minorEastAsia" w:hAnsiTheme="minorEastAsia" w:eastAsiaTheme="minorEastAsia" w:cstheme="minorEastAsia"/>
          <w:spacing w:val="-12"/>
          <w:sz w:val="24"/>
          <w:szCs w:val="24"/>
        </w:rPr>
        <w:t>和我市实际，对本部门“建设项目五年规划”的项目落地性进行研究，制定动态的政府投资“三年滚动建设计划”。</w:t>
      </w:r>
    </w:p>
    <w:p>
      <w:pPr>
        <w:pStyle w:val="3"/>
        <w:spacing w:before="4"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市发改委从政府投资“三年滚动建设计划”中选定需开展前</w:t>
      </w:r>
      <w:r>
        <w:rPr>
          <w:rFonts w:hint="eastAsia" w:asciiTheme="minorEastAsia" w:hAnsiTheme="minorEastAsia" w:eastAsiaTheme="minorEastAsia" w:cstheme="minorEastAsia"/>
          <w:spacing w:val="-12"/>
          <w:sz w:val="24"/>
          <w:szCs w:val="24"/>
        </w:rPr>
        <w:t>期工作的项目，由项目业主启动前期工作至完成可行性研究报告审批后，列入储备项目库。</w:t>
      </w:r>
    </w:p>
    <w:p>
      <w:pPr>
        <w:pStyle w:val="3"/>
        <w:spacing w:before="3" w:line="338" w:lineRule="auto"/>
        <w:ind w:right="161"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市发改委每季度从储备项目中提出需继续推进前期的项目， 报请市政府同意并完成初步设计及概算审批后，列入预备项目库。</w:t>
      </w:r>
    </w:p>
    <w:p>
      <w:pPr>
        <w:pStyle w:val="3"/>
        <w:spacing w:before="2" w:line="338" w:lineRule="auto"/>
        <w:ind w:right="259"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 xml:space="preserve">第二十五条 </w:t>
      </w:r>
      <w:r>
        <w:rPr>
          <w:rFonts w:hint="eastAsia" w:asciiTheme="minorEastAsia" w:hAnsiTheme="minorEastAsia" w:eastAsiaTheme="minorEastAsia" w:cstheme="minorEastAsia"/>
          <w:spacing w:val="-11"/>
          <w:sz w:val="24"/>
          <w:szCs w:val="24"/>
        </w:rPr>
        <w:t>各园区、辖区及行业主管部门应根据下一年度</w:t>
      </w:r>
      <w:r>
        <w:rPr>
          <w:rFonts w:hint="eastAsia" w:asciiTheme="minorEastAsia" w:hAnsiTheme="minorEastAsia" w:eastAsiaTheme="minorEastAsia" w:cstheme="minorEastAsia"/>
          <w:spacing w:val="7"/>
          <w:sz w:val="24"/>
          <w:szCs w:val="24"/>
        </w:rPr>
        <w:t>计划总规模及分领域投资规模提出建设项目清单及年度资金需</w:t>
      </w:r>
      <w:r>
        <w:rPr>
          <w:rFonts w:hint="eastAsia" w:asciiTheme="minorEastAsia" w:hAnsiTheme="minorEastAsia" w:eastAsiaTheme="minorEastAsia" w:cstheme="minorEastAsia"/>
          <w:spacing w:val="-12"/>
          <w:sz w:val="24"/>
          <w:szCs w:val="24"/>
        </w:rPr>
        <w:t>求，市发改委结合储备、预备项目推进情况及市财政局确定的下</w:t>
      </w:r>
      <w:r>
        <w:rPr>
          <w:rFonts w:hint="eastAsia" w:asciiTheme="minorEastAsia" w:hAnsiTheme="minorEastAsia" w:eastAsiaTheme="minorEastAsia" w:cstheme="minorEastAsia"/>
          <w:spacing w:val="-10"/>
          <w:sz w:val="24"/>
          <w:szCs w:val="24"/>
        </w:rPr>
        <w:t>一年政府投资项目预算规模，按照轻重缓急编制下一年度的投资项目计划，报市政府常务会议审议通过后印发执行。</w:t>
      </w:r>
    </w:p>
    <w:p>
      <w:pPr>
        <w:pStyle w:val="3"/>
        <w:spacing w:before="5"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 xml:space="preserve">第二十六条 </w:t>
      </w:r>
      <w:r>
        <w:rPr>
          <w:rFonts w:hint="eastAsia" w:asciiTheme="minorEastAsia" w:hAnsiTheme="minorEastAsia" w:eastAsiaTheme="minorEastAsia" w:cstheme="minorEastAsia"/>
          <w:spacing w:val="-7"/>
          <w:sz w:val="24"/>
          <w:szCs w:val="24"/>
        </w:rPr>
        <w:t>年度政府投资项目计划一经批准下达，应严格</w:t>
      </w:r>
      <w:r>
        <w:rPr>
          <w:rFonts w:hint="eastAsia" w:asciiTheme="minorEastAsia" w:hAnsiTheme="minorEastAsia" w:eastAsiaTheme="minorEastAsia" w:cstheme="minorEastAsia"/>
          <w:spacing w:val="-13"/>
          <w:sz w:val="24"/>
          <w:szCs w:val="24"/>
        </w:rPr>
        <w:t>执行，不得随意调整。涉及取消的项目，须报请市政府分管副市长审定。</w:t>
      </w:r>
    </w:p>
    <w:p>
      <w:pPr>
        <w:pStyle w:val="3"/>
        <w:spacing w:before="2" w:line="338" w:lineRule="auto"/>
        <w:ind w:right="26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年度政府投资项目计划包括续建、新开工项目计划，原则上列入新开工计划的项目应完成可行性研究报告审批及以上。</w:t>
      </w: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第二十七条</w:t>
      </w:r>
      <w:r>
        <w:rPr>
          <w:rFonts w:hint="eastAsia" w:asciiTheme="minorEastAsia" w:hAnsiTheme="minorEastAsia" w:eastAsiaTheme="minorEastAsia" w:cstheme="minorEastAsia"/>
          <w:spacing w:val="24"/>
          <w:sz w:val="24"/>
          <w:szCs w:val="24"/>
          <w:lang w:val="en-US" w:eastAsia="zh-CN"/>
        </w:rPr>
        <w:t xml:space="preserve">  </w:t>
      </w:r>
      <w:r>
        <w:rPr>
          <w:rFonts w:hint="eastAsia" w:asciiTheme="minorEastAsia" w:hAnsiTheme="minorEastAsia" w:eastAsiaTheme="minorEastAsia" w:cstheme="minorEastAsia"/>
          <w:spacing w:val="24"/>
          <w:sz w:val="24"/>
          <w:szCs w:val="24"/>
        </w:rPr>
        <w:t>涉及城市建设急需启动的计划外新增政府投资项目，由市发改委对各园区、辖区及行业主管部门提出的项目建设必要性进行论证，商市财政局确认有明确资金来源后，上报市政府“两重一大”专题会议同意并列入当年投资计划予以实施。</w:t>
      </w: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第二十八条 完成可行性研究报告批复并经市政府同意开展下步工作的项目，项目业主应及时向市自然资源和规划局、项目所在辖区政府提出申请、提供用地红线；市自然资源和规划局立即开展土地权属确认、下达征地通告和办理农转用手续；项目所在辖区政府启动新建项目的土地和房屋征收工作；项目业主负责组织实施征地拆迁工作中涉及的管线迁改（含绿化）等，并配合辖区政府做好项目征地和房屋征收工作；管线（含绿化）主管部门应协助项目业主督促权属单位及时落实迁移工作。</w:t>
      </w:r>
    </w:p>
    <w:p>
      <w:pPr>
        <w:pStyle w:val="3"/>
        <w:spacing w:before="10"/>
        <w:ind w:left="0"/>
        <w:jc w:val="center"/>
        <w:rPr>
          <w:rFonts w:hint="eastAsia" w:asciiTheme="minorEastAsia" w:hAnsiTheme="minorEastAsia" w:eastAsiaTheme="minorEastAsia" w:cstheme="minorEastAsia"/>
          <w:sz w:val="24"/>
          <w:szCs w:val="24"/>
        </w:rPr>
      </w:pPr>
    </w:p>
    <w:p>
      <w:pPr>
        <w:pStyle w:val="3"/>
        <w:spacing w:before="5" w:line="338" w:lineRule="auto"/>
        <w:ind w:right="268" w:firstLine="632"/>
        <w:jc w:val="center"/>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第四章 项目建设管理</w:t>
      </w: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第二十九条 施工图应依据审批的初步设计及概算进行设计。施工图审查机构应按照相关规定对施工图设计进行技术审查。</w:t>
      </w: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第三十条 政府投资项目的勘察、设计、施工、监理、设备及材料等应当按照国家的有关规定招标或采购。</w:t>
      </w: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第三十一条</w:t>
      </w:r>
      <w:r>
        <w:rPr>
          <w:rFonts w:hint="eastAsia" w:asciiTheme="minorEastAsia" w:hAnsiTheme="minorEastAsia" w:eastAsiaTheme="minorEastAsia" w:cstheme="minorEastAsia"/>
          <w:spacing w:val="24"/>
          <w:sz w:val="24"/>
          <w:szCs w:val="24"/>
        </w:rPr>
        <w:tab/>
      </w:r>
      <w:r>
        <w:rPr>
          <w:rFonts w:hint="eastAsia" w:asciiTheme="minorEastAsia" w:hAnsiTheme="minorEastAsia" w:eastAsiaTheme="minorEastAsia" w:cstheme="minorEastAsia"/>
          <w:spacing w:val="24"/>
          <w:sz w:val="24"/>
          <w:szCs w:val="24"/>
        </w:rPr>
        <w:t>政府投资项目开工建设，应当符合有关法律、行政法规规定的建设条件；不符合规定建设条件的，不得开工建设。</w:t>
      </w:r>
    </w:p>
    <w:p>
      <w:pPr>
        <w:pStyle w:val="3"/>
        <w:spacing w:before="55" w:line="338" w:lineRule="auto"/>
        <w:ind w:right="2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第三十二条</w:t>
      </w:r>
      <w:r>
        <w:rPr>
          <w:rFonts w:hint="eastAsia" w:asciiTheme="minorEastAsia" w:hAnsiTheme="minorEastAsia" w:eastAsiaTheme="minorEastAsia" w:cstheme="minorEastAsia"/>
          <w:spacing w:val="24"/>
          <w:sz w:val="24"/>
          <w:szCs w:val="24"/>
        </w:rPr>
        <w:tab/>
      </w:r>
      <w:r>
        <w:rPr>
          <w:rFonts w:hint="eastAsia" w:asciiTheme="minorEastAsia" w:hAnsiTheme="minorEastAsia" w:eastAsiaTheme="minorEastAsia" w:cstheme="minorEastAsia"/>
          <w:spacing w:val="24"/>
          <w:sz w:val="24"/>
          <w:szCs w:val="24"/>
        </w:rPr>
        <w:t>政府投资项目建设投资原则上不得超过经核定的投资概算。确因以下原因导致原批复概算总投资（不含土地、</w:t>
      </w:r>
      <w:r>
        <w:rPr>
          <w:rFonts w:hint="eastAsia" w:asciiTheme="minorEastAsia" w:hAnsiTheme="minorEastAsia" w:eastAsiaTheme="minorEastAsia" w:cstheme="minorEastAsia"/>
          <w:spacing w:val="-1"/>
          <w:sz w:val="24"/>
          <w:szCs w:val="24"/>
        </w:rPr>
        <w:t>房屋征收补偿费</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pacing w:val="-5"/>
          <w:sz w:val="24"/>
          <w:szCs w:val="24"/>
        </w:rPr>
        <w:t>或工程费用不能满足工程实际需要，或在项目建设期间确需增加投资的，可进行概算调整：</w:t>
      </w:r>
    </w:p>
    <w:p>
      <w:pPr>
        <w:pStyle w:val="3"/>
        <w:spacing w:before="2"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因自然灾害等不可抗力造成项目建设条件发生重大变化的；</w:t>
      </w:r>
    </w:p>
    <w:p>
      <w:pPr>
        <w:pStyle w:val="3"/>
        <w:spacing w:before="2"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（二</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8"/>
          <w:sz w:val="24"/>
          <w:szCs w:val="24"/>
        </w:rPr>
        <w:t>因地质条件变化、地下资源和考古发现等情况，造成投资大幅增加的；</w:t>
      </w:r>
    </w:p>
    <w:p>
      <w:pPr>
        <w:pStyle w:val="3"/>
        <w:spacing w:before="2"/>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（三）因国家政策变化、调整或者价格上涨的。</w:t>
      </w:r>
    </w:p>
    <w:p>
      <w:pPr>
        <w:pStyle w:val="3"/>
        <w:spacing w:before="169" w:line="338" w:lineRule="auto"/>
        <w:ind w:right="153"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概算调整审批应当由项目业主在项目竣工验收申请前和主</w:t>
      </w:r>
      <w:r>
        <w:rPr>
          <w:rFonts w:hint="eastAsia" w:asciiTheme="minorEastAsia" w:hAnsiTheme="minorEastAsia" w:eastAsiaTheme="minorEastAsia" w:cstheme="minorEastAsia"/>
          <w:spacing w:val="-4"/>
          <w:sz w:val="24"/>
          <w:szCs w:val="24"/>
        </w:rPr>
        <w:t xml:space="preserve">要设备业已订货后进行，原则上在项目建设期内只予调整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30"/>
          <w:sz w:val="24"/>
          <w:szCs w:val="24"/>
        </w:rPr>
        <w:t xml:space="preserve"> 次。</w:t>
      </w:r>
    </w:p>
    <w:p>
      <w:pPr>
        <w:pStyle w:val="3"/>
        <w:spacing w:before="2" w:line="338" w:lineRule="auto"/>
        <w:ind w:right="259"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概算中的土地、房屋征收补偿费以市政府或行业主管部门批复为准，其中以暂估价列入概算中的土地、房屋征收补偿费与市</w:t>
      </w:r>
      <w:r>
        <w:rPr>
          <w:rFonts w:hint="eastAsia" w:asciiTheme="minorEastAsia" w:hAnsiTheme="minorEastAsia" w:eastAsiaTheme="minorEastAsia" w:cstheme="minorEastAsia"/>
          <w:spacing w:val="7"/>
          <w:sz w:val="24"/>
          <w:szCs w:val="24"/>
        </w:rPr>
        <w:t>政府或行业主管部门实际批复费用不一致的，无需进行概算调</w:t>
      </w:r>
      <w:r>
        <w:rPr>
          <w:rFonts w:hint="eastAsia" w:asciiTheme="minorEastAsia" w:hAnsiTheme="minorEastAsia" w:eastAsiaTheme="minorEastAsia" w:cstheme="minorEastAsia"/>
          <w:sz w:val="24"/>
          <w:szCs w:val="24"/>
        </w:rPr>
        <w:t>整。</w:t>
      </w:r>
    </w:p>
    <w:p>
      <w:pPr>
        <w:pStyle w:val="3"/>
        <w:spacing w:before="4"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 xml:space="preserve">第三十三条 </w:t>
      </w:r>
      <w:r>
        <w:rPr>
          <w:rFonts w:hint="eastAsia" w:asciiTheme="minorEastAsia" w:hAnsiTheme="minorEastAsia" w:eastAsiaTheme="minorEastAsia" w:cstheme="minorEastAsia"/>
          <w:spacing w:val="-10"/>
          <w:sz w:val="24"/>
          <w:szCs w:val="24"/>
        </w:rPr>
        <w:t>政府投资项目调整概算，原则上由项目业主提</w:t>
      </w:r>
      <w:r>
        <w:rPr>
          <w:rFonts w:hint="eastAsia" w:asciiTheme="minorEastAsia" w:hAnsiTheme="minorEastAsia" w:eastAsiaTheme="minorEastAsia" w:cstheme="minorEastAsia"/>
          <w:spacing w:val="-12"/>
          <w:sz w:val="24"/>
          <w:szCs w:val="24"/>
        </w:rPr>
        <w:t>出申请，经原初步设计审批部门进行工程变更</w:t>
      </w:r>
      <w:r>
        <w:rPr>
          <w:rFonts w:hint="eastAsia" w:asciiTheme="minorEastAsia" w:hAnsiTheme="minorEastAsia" w:eastAsiaTheme="minorEastAsia" w:cstheme="minorEastAsia"/>
          <w:sz w:val="24"/>
          <w:szCs w:val="24"/>
        </w:rPr>
        <w:t>（包含设计变更和</w:t>
      </w:r>
      <w:r>
        <w:rPr>
          <w:rFonts w:hint="eastAsia" w:asciiTheme="minorEastAsia" w:hAnsiTheme="minorEastAsia" w:eastAsiaTheme="minorEastAsia" w:cstheme="minorEastAsia"/>
          <w:spacing w:val="-1"/>
          <w:sz w:val="24"/>
          <w:szCs w:val="24"/>
        </w:rPr>
        <w:t>工程签证</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9"/>
          <w:sz w:val="24"/>
          <w:szCs w:val="24"/>
        </w:rPr>
        <w:t>审批，报原概算审批部门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单纯由于价格上涨的，直接报原概算审批部门）按照以下程序进行：</w:t>
      </w:r>
    </w:p>
    <w:p>
      <w:pPr>
        <w:pStyle w:val="3"/>
        <w:spacing w:before="3"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4"/>
          <w:sz w:val="24"/>
          <w:szCs w:val="24"/>
        </w:rPr>
        <w:t>调整概算幅度超过原批复概算总投资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7"/>
          <w:sz w:val="24"/>
          <w:szCs w:val="24"/>
        </w:rPr>
        <w:t>不含土地、房屋征收补偿费）10%以内的，由原概算审批部门审批概算；</w:t>
      </w:r>
    </w:p>
    <w:p>
      <w:pPr>
        <w:pStyle w:val="3"/>
        <w:spacing w:before="55" w:line="338" w:lineRule="auto"/>
        <w:ind w:right="270" w:firstLine="714"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24"/>
          <w:sz w:val="24"/>
          <w:szCs w:val="24"/>
        </w:rPr>
        <w:t>二）调整概算幅度超过原批复概算总投资（不含土地、房屋征收补偿费）10%及以上的，原概算审批部门出具初审意见后， 由项目业主报请市政府批准后再进行调整：调整超过原批复概算500 万元以内的，报市政府分管市领导或专题会议研究同意；500 万元（含）以上的，报市政府“两重一大”专题会议审议。</w:t>
      </w:r>
    </w:p>
    <w:p>
      <w:pPr>
        <w:pStyle w:val="3"/>
        <w:spacing w:before="2"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对由于价格上涨、政策调整等造成的增加投资,不作为计取其他费用的基数。</w:t>
      </w:r>
    </w:p>
    <w:p>
      <w:pPr>
        <w:pStyle w:val="3"/>
        <w:tabs>
          <w:tab w:val="left" w:pos="2680"/>
        </w:tabs>
        <w:spacing w:before="2"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政府投资项目</w:t>
      </w:r>
      <w:r>
        <w:rPr>
          <w:rFonts w:hint="eastAsia" w:asciiTheme="minorEastAsia" w:hAnsiTheme="minorEastAsia" w:eastAsiaTheme="minorEastAsia" w:cstheme="minorEastAsia"/>
          <w:sz w:val="24"/>
          <w:szCs w:val="24"/>
        </w:rPr>
        <w:t>必须严格按照施工图进行施工， 原则上实行无现场签证制度</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确需进行工程变更的</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分以下情况按程序办理：</w:t>
      </w:r>
    </w:p>
    <w:p>
      <w:pPr>
        <w:pStyle w:val="3"/>
        <w:spacing w:before="3" w:line="338" w:lineRule="auto"/>
        <w:ind w:right="268"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工程变更未涉及增加项目概算工程费用且不降低项目</w:t>
      </w:r>
      <w:r>
        <w:rPr>
          <w:rFonts w:hint="eastAsia" w:asciiTheme="minorEastAsia" w:hAnsiTheme="minorEastAsia" w:eastAsiaTheme="minorEastAsia" w:cstheme="minorEastAsia"/>
          <w:spacing w:val="-11"/>
          <w:sz w:val="24"/>
          <w:szCs w:val="24"/>
        </w:rPr>
        <w:t>建设标准及质量的，由项目业主自行审查工程变更说明及调整方案后，报原初步设计审批部门备案。</w:t>
      </w:r>
    </w:p>
    <w:p>
      <w:pPr>
        <w:pStyle w:val="3"/>
        <w:spacing w:before="2" w:line="338" w:lineRule="auto"/>
        <w:ind w:right="153"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4"/>
          <w:sz w:val="24"/>
          <w:szCs w:val="24"/>
        </w:rPr>
        <w:t>工程变更涉及增加项目概算工程费用的，如增加投资</w:t>
      </w:r>
      <w:r>
        <w:rPr>
          <w:rFonts w:hint="eastAsia" w:asciiTheme="minorEastAsia" w:hAnsiTheme="minorEastAsia" w:eastAsiaTheme="minorEastAsia" w:cstheme="minorEastAsia"/>
          <w:spacing w:val="-1"/>
          <w:sz w:val="24"/>
          <w:szCs w:val="24"/>
        </w:rPr>
        <w:t>可在批复概算（不含土地、房屋征收补偿费</w:t>
      </w:r>
      <w:r>
        <w:rPr>
          <w:rFonts w:hint="eastAsia" w:asciiTheme="minorEastAsia" w:hAnsiTheme="minorEastAsia" w:eastAsiaTheme="minorEastAsia" w:cstheme="minorEastAsia"/>
          <w:sz w:val="24"/>
          <w:szCs w:val="24"/>
        </w:rPr>
        <w:t xml:space="preserve">）以内调剂解决的， </w:t>
      </w:r>
      <w:r>
        <w:rPr>
          <w:rFonts w:hint="eastAsia" w:asciiTheme="minorEastAsia" w:hAnsiTheme="minorEastAsia" w:eastAsiaTheme="minorEastAsia" w:cstheme="minorEastAsia"/>
          <w:spacing w:val="7"/>
          <w:sz w:val="24"/>
          <w:szCs w:val="24"/>
        </w:rPr>
        <w:t>其中设计变更部分由项目业主在变更内容现场实施前报原初步</w:t>
      </w:r>
      <w:r>
        <w:rPr>
          <w:rFonts w:hint="eastAsia" w:asciiTheme="minorEastAsia" w:hAnsiTheme="minorEastAsia" w:eastAsiaTheme="minorEastAsia" w:cstheme="minorEastAsia"/>
          <w:spacing w:val="-10"/>
          <w:sz w:val="24"/>
          <w:szCs w:val="24"/>
        </w:rPr>
        <w:t>设计审批</w:t>
      </w:r>
      <w:r>
        <w:rPr>
          <w:rFonts w:hint="eastAsia" w:asciiTheme="minorEastAsia" w:hAnsiTheme="minorEastAsia" w:eastAsiaTheme="minorEastAsia" w:cstheme="minorEastAsia"/>
          <w:sz w:val="24"/>
          <w:szCs w:val="24"/>
        </w:rPr>
        <w:t>（审查</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pacing w:val="-4"/>
          <w:sz w:val="24"/>
          <w:szCs w:val="24"/>
        </w:rPr>
        <w:t>部门进行技术审查后实施，工程签证部分可由</w:t>
      </w:r>
      <w:r>
        <w:rPr>
          <w:rFonts w:hint="eastAsia" w:asciiTheme="minorEastAsia" w:hAnsiTheme="minorEastAsia" w:eastAsiaTheme="minorEastAsia" w:cstheme="minorEastAsia"/>
          <w:spacing w:val="-11"/>
          <w:sz w:val="24"/>
          <w:szCs w:val="24"/>
        </w:rPr>
        <w:t>项目业主自行审查；如累计增加投资部分无法在批复概算</w:t>
      </w:r>
      <w:r>
        <w:rPr>
          <w:rFonts w:hint="eastAsia" w:asciiTheme="minorEastAsia" w:hAnsiTheme="minorEastAsia" w:eastAsiaTheme="minorEastAsia" w:cstheme="minorEastAsia"/>
          <w:sz w:val="24"/>
          <w:szCs w:val="24"/>
        </w:rPr>
        <w:t>（不含</w:t>
      </w:r>
      <w:r>
        <w:rPr>
          <w:rFonts w:hint="eastAsia" w:asciiTheme="minorEastAsia" w:hAnsiTheme="minorEastAsia" w:eastAsiaTheme="minorEastAsia" w:cstheme="minorEastAsia"/>
          <w:spacing w:val="-7"/>
          <w:sz w:val="24"/>
          <w:szCs w:val="24"/>
        </w:rPr>
        <w:t>土地、房屋征收补偿费</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pacing w:val="-6"/>
          <w:sz w:val="24"/>
          <w:szCs w:val="24"/>
        </w:rPr>
        <w:t>内调剂解决的，由项目业主按第三十二条和第三十三条程序办理。</w:t>
      </w:r>
    </w:p>
    <w:p>
      <w:pPr>
        <w:pStyle w:val="3"/>
        <w:spacing w:before="7" w:line="338" w:lineRule="auto"/>
        <w:ind w:right="270"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未按程序进行审查的工程变更不得计入工程总投资，不得纳入工程竣工决算。</w:t>
      </w:r>
    </w:p>
    <w:p>
      <w:pPr>
        <w:pStyle w:val="3"/>
        <w:tabs>
          <w:tab w:val="left" w:pos="2679"/>
        </w:tabs>
        <w:spacing w:before="2" w:line="338" w:lineRule="auto"/>
        <w:ind w:right="107"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政府投资项目实行联合验收</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工程完工具备验</w:t>
      </w:r>
      <w:r>
        <w:rPr>
          <w:rFonts w:hint="eastAsia" w:asciiTheme="minorEastAsia" w:hAnsiTheme="minorEastAsia" w:eastAsiaTheme="minorEastAsia" w:cstheme="minorEastAsia"/>
          <w:spacing w:val="-1"/>
          <w:sz w:val="24"/>
          <w:szCs w:val="24"/>
        </w:rPr>
        <w:t>收条件的</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pacing w:val="-1"/>
          <w:sz w:val="24"/>
          <w:szCs w:val="24"/>
        </w:rPr>
        <w:t>规</w:t>
      </w:r>
      <w:r>
        <w:rPr>
          <w:rFonts w:hint="eastAsia" w:asciiTheme="minorEastAsia" w:hAnsiTheme="minorEastAsia" w:eastAsiaTheme="minorEastAsia" w:cstheme="minorEastAsia"/>
          <w:sz w:val="24"/>
          <w:szCs w:val="24"/>
        </w:rPr>
        <w:t>划</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土地</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质量</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消防</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人防等事项实行联合验收， 统一出具验收意见。</w:t>
      </w:r>
    </w:p>
    <w:p>
      <w:pPr>
        <w:pStyle w:val="3"/>
        <w:spacing w:before="55" w:line="338" w:lineRule="auto"/>
        <w:ind w:right="263"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 xml:space="preserve">第三十六条 </w:t>
      </w:r>
      <w:r>
        <w:rPr>
          <w:rFonts w:hint="eastAsia" w:asciiTheme="minorEastAsia" w:hAnsiTheme="minorEastAsia" w:eastAsiaTheme="minorEastAsia" w:cstheme="minorEastAsia"/>
          <w:spacing w:val="7"/>
          <w:sz w:val="24"/>
          <w:szCs w:val="24"/>
        </w:rPr>
        <w:t>项目完成施工合同约定的施工内容且具备验</w:t>
      </w:r>
      <w:r>
        <w:rPr>
          <w:rFonts w:hint="eastAsia" w:asciiTheme="minorEastAsia" w:hAnsiTheme="minorEastAsia" w:eastAsiaTheme="minorEastAsia" w:cstheme="minorEastAsia"/>
          <w:spacing w:val="-16"/>
          <w:sz w:val="24"/>
          <w:szCs w:val="24"/>
        </w:rPr>
        <w:t xml:space="preserve">收条件的，项目业主应当在提出验收申请的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12"/>
          <w:sz w:val="24"/>
          <w:szCs w:val="24"/>
        </w:rPr>
        <w:t xml:space="preserve"> 个月内完成竣工验收。</w:t>
      </w:r>
    </w:p>
    <w:p>
      <w:pPr>
        <w:pStyle w:val="3"/>
        <w:spacing w:before="55" w:line="338" w:lineRule="auto"/>
        <w:ind w:right="263" w:firstLine="632"/>
        <w:jc w:val="both"/>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项目竣工验收合格后，项目业主应当在 1 个月内完成项目（实体）接管移交手续，工程质量保修权利和责任一并移交接管单位，接管单位不得以接管条件不具备等非质量问题为理由拒绝接管。</w:t>
      </w:r>
    </w:p>
    <w:p>
      <w:pPr>
        <w:pStyle w:val="3"/>
        <w:spacing w:before="3"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0"/>
          <w:sz w:val="24"/>
          <w:szCs w:val="24"/>
        </w:rPr>
        <w:t>项目</w:t>
      </w:r>
      <w:r>
        <w:rPr>
          <w:rFonts w:hint="eastAsia" w:asciiTheme="minorEastAsia" w:hAnsiTheme="minorEastAsia" w:eastAsiaTheme="minorEastAsia" w:cstheme="minorEastAsia"/>
          <w:spacing w:val="-1"/>
          <w:sz w:val="24"/>
          <w:szCs w:val="24"/>
        </w:rPr>
        <w:t>（实体</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6"/>
          <w:sz w:val="24"/>
          <w:szCs w:val="24"/>
        </w:rPr>
        <w:t>移交后，项目业主应在完成工程竣工决算后的1</w:t>
      </w:r>
      <w:r>
        <w:rPr>
          <w:rFonts w:hint="eastAsia" w:asciiTheme="minorEastAsia" w:hAnsiTheme="minorEastAsia" w:eastAsiaTheme="minorEastAsia" w:cstheme="minorEastAsia"/>
          <w:spacing w:val="-13"/>
          <w:sz w:val="24"/>
          <w:szCs w:val="24"/>
        </w:rPr>
        <w:t xml:space="preserve"> 个月内完成资产资料及财务移交手续，同时与产权管理部门办理项目产权登记等。</w:t>
      </w:r>
    </w:p>
    <w:p>
      <w:pPr>
        <w:pStyle w:val="3"/>
        <w:tabs>
          <w:tab w:val="left" w:pos="2680"/>
        </w:tabs>
        <w:spacing w:before="2" w:line="338" w:lineRule="auto"/>
        <w:ind w:right="153"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政府投资建设项目必须进行工程竣工决算</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z w:val="24"/>
          <w:szCs w:val="24"/>
        </w:rPr>
        <w:t>工程竣工决算指从筹建到竣工验收</w:t>
      </w:r>
      <w:r>
        <w:rPr>
          <w:rFonts w:hint="eastAsia" w:asciiTheme="minorEastAsia" w:hAnsiTheme="minorEastAsia" w:eastAsiaTheme="minorEastAsia" w:cstheme="minorEastAsia"/>
          <w:spacing w:val="-116"/>
          <w:sz w:val="24"/>
          <w:szCs w:val="24"/>
        </w:rPr>
        <w:t>、</w:t>
      </w:r>
      <w:r>
        <w:rPr>
          <w:rFonts w:hint="eastAsia" w:asciiTheme="minorEastAsia" w:hAnsiTheme="minorEastAsia" w:eastAsiaTheme="minorEastAsia" w:cstheme="minorEastAsia"/>
          <w:sz w:val="24"/>
          <w:szCs w:val="24"/>
        </w:rPr>
        <w:t>交付使用全过程发生的实际造</w:t>
      </w:r>
      <w:r>
        <w:rPr>
          <w:rFonts w:hint="eastAsia" w:asciiTheme="minorEastAsia" w:hAnsiTheme="minorEastAsia" w:eastAsiaTheme="minorEastAsia" w:cstheme="minorEastAsia"/>
          <w:spacing w:val="-1"/>
          <w:sz w:val="24"/>
          <w:szCs w:val="24"/>
        </w:rPr>
        <w:t>价，主要内容为工程费、</w:t>
      </w:r>
      <w:r>
        <w:rPr>
          <w:rFonts w:hint="eastAsia" w:asciiTheme="minorEastAsia" w:hAnsiTheme="minorEastAsia" w:eastAsiaTheme="minorEastAsia" w:cstheme="minorEastAsia"/>
          <w:sz w:val="24"/>
          <w:szCs w:val="24"/>
        </w:rPr>
        <w:t>管线迁改费和土地、房屋征收补偿费、设备及工具器具购置费</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工程建设其他费等</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工程竣工决算是办理固定资产交付使用手续或产权登记的依据。</w:t>
      </w:r>
    </w:p>
    <w:p>
      <w:pPr>
        <w:pStyle w:val="3"/>
        <w:spacing w:before="6"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9"/>
          <w:sz w:val="24"/>
          <w:szCs w:val="24"/>
        </w:rPr>
        <w:t>纯设备购置、房屋及其他建筑物购置的项目，无需办理项目竣工决算。</w:t>
      </w:r>
    </w:p>
    <w:p>
      <w:pPr>
        <w:pStyle w:val="3"/>
        <w:spacing w:before="1" w:line="338" w:lineRule="auto"/>
        <w:ind w:right="269"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pacing w:val="-13"/>
          <w:sz w:val="24"/>
          <w:szCs w:val="24"/>
        </w:rPr>
        <w:t xml:space="preserve">总投资在 </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pacing w:val="-21"/>
          <w:sz w:val="24"/>
          <w:szCs w:val="24"/>
        </w:rPr>
        <w:t xml:space="preserve"> 万元</w:t>
      </w:r>
      <w:r>
        <w:rPr>
          <w:rFonts w:hint="eastAsia" w:asciiTheme="minorEastAsia" w:hAnsiTheme="minorEastAsia" w:eastAsiaTheme="minorEastAsia" w:cstheme="minorEastAsia"/>
          <w:sz w:val="24"/>
          <w:szCs w:val="24"/>
        </w:rPr>
        <w:t>（含）以下的项目，由项目业主自行委托第三方机构办理，并报市财政局备案。</w:t>
      </w:r>
    </w:p>
    <w:p>
      <w:pPr>
        <w:pStyle w:val="3"/>
        <w:spacing w:before="6" w:line="338" w:lineRule="auto"/>
        <w:ind w:right="269" w:firstLine="632"/>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（三）总投资在 1000 万元以上的项目，由市财政局负责审核工程竣工决算。项目业主应在项目竣工验收后 2 个月内完成工程决算的编制工作，报市财政局审核批复。未按规定程序办理的概算调整和工程变更的，原则上不得列入工程竣工决算。</w:t>
      </w:r>
    </w:p>
    <w:p>
      <w:pPr>
        <w:pStyle w:val="3"/>
        <w:spacing w:before="170" w:line="338" w:lineRule="auto"/>
        <w:ind w:right="268"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项目涉及房屋征收的，在房屋征收工作完成后，各辖区政府可提前办理房屋征收补偿费用决算审核，并报市财政局备案。</w:t>
      </w:r>
    </w:p>
    <w:p>
      <w:pPr>
        <w:pStyle w:val="3"/>
        <w:spacing w:before="6" w:line="338" w:lineRule="auto"/>
        <w:ind w:right="269" w:firstLine="632"/>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第三十八条 市发改委选择有代表性的已建成政府投资项目，委托中介服务机构对所选项目进行后评价，评价应当根据项目建成后的实际效果，对项目审批和实施进行全面评价并提出明确意见。</w:t>
      </w:r>
    </w:p>
    <w:p>
      <w:pPr>
        <w:pStyle w:val="3"/>
        <w:spacing w:before="6" w:line="338" w:lineRule="auto"/>
        <w:ind w:right="269" w:firstLine="632"/>
        <w:jc w:val="center"/>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第五章 资金安排与管理</w:t>
      </w:r>
    </w:p>
    <w:p>
      <w:pPr>
        <w:pStyle w:val="3"/>
        <w:tabs>
          <w:tab w:val="left" w:pos="2680"/>
        </w:tabs>
        <w:spacing w:before="170" w:line="338" w:lineRule="auto"/>
        <w:ind w:right="270"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政府投资项目建设</w:t>
      </w:r>
      <w:r>
        <w:rPr>
          <w:rFonts w:hint="eastAsia" w:asciiTheme="minorEastAsia" w:hAnsiTheme="minorEastAsia" w:eastAsiaTheme="minorEastAsia" w:cstheme="minorEastAsia"/>
          <w:sz w:val="24"/>
          <w:szCs w:val="24"/>
        </w:rPr>
        <w:t>资金实行专款专用</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z w:val="24"/>
          <w:szCs w:val="24"/>
        </w:rPr>
        <w:t>原则上实行国库集中支付管理。</w:t>
      </w:r>
    </w:p>
    <w:p>
      <w:pPr>
        <w:pStyle w:val="3"/>
        <w:spacing w:before="2" w:line="338" w:lineRule="auto"/>
        <w:ind w:right="267"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各园区、辖区及行业主管部门根据财政切块下达的资金预算</w:t>
      </w:r>
      <w:r>
        <w:rPr>
          <w:rFonts w:hint="eastAsia" w:asciiTheme="minorEastAsia" w:hAnsiTheme="minorEastAsia" w:eastAsiaTheme="minorEastAsia" w:cstheme="minorEastAsia"/>
          <w:spacing w:val="-13"/>
          <w:sz w:val="24"/>
          <w:szCs w:val="24"/>
        </w:rPr>
        <w:t>进行统筹调配，结合项目建设情况，直接将资金拨付给项目业主</w:t>
      </w:r>
    </w:p>
    <w:p>
      <w:pPr>
        <w:pStyle w:val="3"/>
        <w:spacing w:before="1" w:line="338" w:lineRule="auto"/>
        <w:ind w:right="1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（市属国企或事业单位</w:t>
      </w:r>
      <w:r>
        <w:rPr>
          <w:rFonts w:hint="eastAsia" w:asciiTheme="minorEastAsia" w:hAnsiTheme="minorEastAsia" w:eastAsiaTheme="minorEastAsia" w:cstheme="minorEastAsia"/>
          <w:spacing w:val="-116"/>
          <w:sz w:val="24"/>
          <w:szCs w:val="24"/>
        </w:rPr>
        <w:t>）</w:t>
      </w:r>
      <w:r>
        <w:rPr>
          <w:rFonts w:hint="eastAsia" w:asciiTheme="minorEastAsia" w:hAnsiTheme="minorEastAsia" w:eastAsiaTheme="minorEastAsia" w:cstheme="minorEastAsia"/>
          <w:sz w:val="24"/>
          <w:szCs w:val="24"/>
        </w:rPr>
        <w:t>或依据代建单位对项目进度的审核意见</w:t>
      </w:r>
      <w:r>
        <w:rPr>
          <w:rFonts w:hint="eastAsia" w:asciiTheme="minorEastAsia" w:hAnsiTheme="minorEastAsia" w:eastAsiaTheme="minorEastAsia" w:cstheme="minorEastAsia"/>
          <w:spacing w:val="-20"/>
          <w:sz w:val="24"/>
          <w:szCs w:val="24"/>
        </w:rPr>
        <w:t>支付给最终收款人；对明确由园区、辖区负责审批、实施的项目， 切块下达的资金预算外缺口部分由园区、辖区自行筹集建设。</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 xml:space="preserve">第四十条 </w:t>
      </w:r>
      <w:r>
        <w:rPr>
          <w:rFonts w:hint="eastAsia" w:asciiTheme="minorEastAsia" w:hAnsiTheme="minorEastAsia" w:eastAsiaTheme="minorEastAsia" w:cstheme="minorEastAsia"/>
          <w:spacing w:val="7"/>
          <w:sz w:val="24"/>
          <w:szCs w:val="24"/>
        </w:rPr>
        <w:t>项目业主根据项目实施进度情况及相关规定拨</w:t>
      </w:r>
      <w:r>
        <w:rPr>
          <w:rFonts w:hint="eastAsia" w:asciiTheme="minorEastAsia" w:hAnsiTheme="minorEastAsia" w:eastAsiaTheme="minorEastAsia" w:cstheme="minorEastAsia"/>
          <w:spacing w:val="-12"/>
          <w:sz w:val="24"/>
          <w:szCs w:val="24"/>
        </w:rPr>
        <w:t>付费用。其中，土地、房屋征收补偿费的拨付按第四十一条程序办理，除此之外的其他费用按本条程序办理。</w:t>
      </w:r>
    </w:p>
    <w:p>
      <w:pPr>
        <w:pStyle w:val="3"/>
        <w:spacing w:before="55" w:line="338" w:lineRule="auto"/>
        <w:ind w:right="1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8"/>
          <w:sz w:val="24"/>
          <w:szCs w:val="24"/>
        </w:rPr>
        <w:t>前期费用</w:t>
      </w:r>
      <w:r>
        <w:rPr>
          <w:rFonts w:hint="eastAsia" w:asciiTheme="minorEastAsia" w:hAnsiTheme="minorEastAsia" w:eastAsiaTheme="minorEastAsia" w:cstheme="minorEastAsia"/>
          <w:sz w:val="24"/>
          <w:szCs w:val="24"/>
        </w:rPr>
        <w:t>（含项目管理费</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z w:val="24"/>
          <w:szCs w:val="24"/>
        </w:rPr>
        <w:t>项目开工前的前期费用</w:t>
      </w:r>
      <w:r>
        <w:rPr>
          <w:rFonts w:hint="eastAsia" w:asciiTheme="minorEastAsia" w:hAnsiTheme="minorEastAsia" w:eastAsiaTheme="minorEastAsia" w:cstheme="minorEastAsia"/>
          <w:spacing w:val="-11"/>
          <w:sz w:val="24"/>
          <w:szCs w:val="24"/>
        </w:rPr>
        <w:t>向市发改委申请，分前期启动、可行性研究报告批复、概算批复</w:t>
      </w:r>
      <w:r>
        <w:rPr>
          <w:rFonts w:hint="eastAsia" w:asciiTheme="minorEastAsia" w:hAnsiTheme="minorEastAsia" w:eastAsiaTheme="minorEastAsia" w:cstheme="minorEastAsia"/>
          <w:spacing w:val="-15"/>
          <w:sz w:val="24"/>
          <w:szCs w:val="24"/>
        </w:rPr>
        <w:t xml:space="preserve">等阶段拨付。前期启动费按项目估算总投资的 </w:t>
      </w:r>
      <w:r>
        <w:rPr>
          <w:rFonts w:hint="eastAsia" w:asciiTheme="minorEastAsia" w:hAnsiTheme="minorEastAsia" w:eastAsiaTheme="minorEastAsia" w:cstheme="minorEastAsia"/>
          <w:spacing w:val="-13"/>
          <w:sz w:val="24"/>
          <w:szCs w:val="24"/>
        </w:rPr>
        <w:t>0.5%（</w:t>
      </w:r>
      <w:r>
        <w:rPr>
          <w:rFonts w:hint="eastAsia" w:asciiTheme="minorEastAsia" w:hAnsiTheme="minorEastAsia" w:eastAsiaTheme="minorEastAsia" w:cstheme="minorEastAsia"/>
          <w:spacing w:val="-21"/>
          <w:sz w:val="24"/>
          <w:szCs w:val="24"/>
        </w:rPr>
        <w:t xml:space="preserve">不超过 </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pacing w:val="-1"/>
          <w:sz w:val="24"/>
          <w:szCs w:val="24"/>
        </w:rPr>
        <w:t>万元）予以拨付；剩余前期费用则分别在可行性研究报告批复、</w:t>
      </w:r>
      <w:r>
        <w:rPr>
          <w:rFonts w:hint="eastAsia" w:asciiTheme="minorEastAsia" w:hAnsiTheme="minorEastAsia" w:eastAsiaTheme="minorEastAsia" w:cstheme="minorEastAsia"/>
          <w:spacing w:val="-11"/>
          <w:sz w:val="24"/>
          <w:szCs w:val="24"/>
        </w:rPr>
        <w:t>概算批复等阶段拨付，原则上累计拨付费用均应包括至该阶段已签订前期工作相关合同实际发生的费用；</w:t>
      </w:r>
    </w:p>
    <w:p>
      <w:pPr>
        <w:pStyle w:val="3"/>
        <w:spacing w:before="4"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（二</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项目开工建设后的剩余前期费用与工程进度款一并纳</w:t>
      </w:r>
      <w:r>
        <w:rPr>
          <w:rFonts w:hint="eastAsia" w:asciiTheme="minorEastAsia" w:hAnsiTheme="minorEastAsia" w:eastAsiaTheme="minorEastAsia" w:cstheme="minorEastAsia"/>
          <w:spacing w:val="-10"/>
          <w:sz w:val="24"/>
          <w:szCs w:val="24"/>
        </w:rPr>
        <w:t>入部门切块资金预算统筹，由各园区、辖区及行业主管部门按工</w:t>
      </w:r>
      <w:r>
        <w:rPr>
          <w:rFonts w:hint="eastAsia" w:asciiTheme="minorEastAsia" w:hAnsiTheme="minorEastAsia" w:eastAsiaTheme="minorEastAsia" w:cstheme="minorEastAsia"/>
          <w:spacing w:val="-11"/>
          <w:sz w:val="24"/>
          <w:szCs w:val="24"/>
        </w:rPr>
        <w:t>程实施进度予以拨付：第一次预拨的款项原则上不超过项目批复</w:t>
      </w:r>
      <w:r>
        <w:rPr>
          <w:rFonts w:hint="eastAsia" w:asciiTheme="minorEastAsia" w:hAnsiTheme="minorEastAsia" w:eastAsiaTheme="minorEastAsia" w:cstheme="minorEastAsia"/>
          <w:spacing w:val="-30"/>
          <w:sz w:val="24"/>
          <w:szCs w:val="24"/>
        </w:rPr>
        <w:t xml:space="preserve">概算的 </w:t>
      </w:r>
      <w:r>
        <w:rPr>
          <w:rFonts w:hint="eastAsia" w:asciiTheme="minorEastAsia" w:hAnsiTheme="minorEastAsia" w:eastAsiaTheme="minorEastAsia" w:cstheme="minorEastAsia"/>
          <w:spacing w:val="-6"/>
          <w:sz w:val="24"/>
          <w:szCs w:val="24"/>
        </w:rPr>
        <w:t>30</w:t>
      </w:r>
      <w:r>
        <w:rPr>
          <w:rFonts w:hint="eastAsia" w:asciiTheme="minorEastAsia" w:hAnsiTheme="minorEastAsia" w:eastAsiaTheme="minorEastAsia" w:cstheme="minorEastAsia"/>
          <w:spacing w:val="-5"/>
          <w:sz w:val="24"/>
          <w:szCs w:val="24"/>
        </w:rPr>
        <w:t>%，除市政府另有规定外，其余工程进度款的拨付以工</w:t>
      </w:r>
      <w:r>
        <w:rPr>
          <w:rFonts w:hint="eastAsia" w:asciiTheme="minorEastAsia" w:hAnsiTheme="minorEastAsia" w:eastAsiaTheme="minorEastAsia" w:cstheme="minorEastAsia"/>
          <w:spacing w:val="-12"/>
          <w:sz w:val="24"/>
          <w:szCs w:val="24"/>
        </w:rPr>
        <w:t>程进度作为依据，在工程竣工验收完成后最高可拨付至项目概算批复及管线迁改等预算批复总额（不含预备费）</w:t>
      </w:r>
      <w:r>
        <w:rPr>
          <w:rFonts w:hint="eastAsia" w:asciiTheme="minorEastAsia" w:hAnsiTheme="minorEastAsia" w:eastAsiaTheme="minorEastAsia" w:cstheme="minorEastAsia"/>
          <w:spacing w:val="-47"/>
          <w:sz w:val="24"/>
          <w:szCs w:val="24"/>
        </w:rPr>
        <w:t xml:space="preserve">的 </w:t>
      </w:r>
      <w:r>
        <w:rPr>
          <w:rFonts w:hint="eastAsia" w:asciiTheme="minorEastAsia" w:hAnsiTheme="minorEastAsia" w:eastAsiaTheme="minorEastAsia" w:cstheme="minorEastAsia"/>
          <w:sz w:val="24"/>
          <w:szCs w:val="24"/>
        </w:rPr>
        <w:t>80%；</w:t>
      </w:r>
    </w:p>
    <w:p>
      <w:pPr>
        <w:pStyle w:val="3"/>
        <w:spacing w:before="5" w:line="338" w:lineRule="auto"/>
        <w:ind w:right="109"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为应对自然灾害、事故灾难、公共卫生事件、社会安全事件</w:t>
      </w:r>
      <w:r>
        <w:rPr>
          <w:rFonts w:hint="eastAsia" w:asciiTheme="minorEastAsia" w:hAnsiTheme="minorEastAsia" w:eastAsiaTheme="minorEastAsia" w:cstheme="minorEastAsia"/>
          <w:spacing w:val="7"/>
          <w:sz w:val="24"/>
          <w:szCs w:val="24"/>
        </w:rPr>
        <w:t>等突发事件需要紧急建设的项目可根据项目业主报送的投资估</w:t>
      </w:r>
      <w:r>
        <w:rPr>
          <w:rFonts w:hint="eastAsia" w:asciiTheme="minorEastAsia" w:hAnsiTheme="minorEastAsia" w:eastAsiaTheme="minorEastAsia" w:cstheme="minorEastAsia"/>
          <w:spacing w:val="-13"/>
          <w:sz w:val="24"/>
          <w:szCs w:val="24"/>
        </w:rPr>
        <w:t xml:space="preserve">算一次性拨付 </w:t>
      </w:r>
      <w:r>
        <w:rPr>
          <w:rFonts w:hint="eastAsia" w:asciiTheme="minorEastAsia" w:hAnsiTheme="minorEastAsia" w:eastAsiaTheme="minorEastAsia" w:cstheme="minorEastAsia"/>
          <w:spacing w:val="-30"/>
          <w:sz w:val="24"/>
          <w:szCs w:val="24"/>
        </w:rPr>
        <w:t>30</w:t>
      </w:r>
      <w:r>
        <w:rPr>
          <w:rFonts w:hint="eastAsia" w:asciiTheme="minorEastAsia" w:hAnsiTheme="minorEastAsia" w:eastAsiaTheme="minorEastAsia" w:cstheme="minorEastAsia"/>
          <w:spacing w:val="-12"/>
          <w:sz w:val="24"/>
          <w:szCs w:val="24"/>
        </w:rPr>
        <w:t xml:space="preserve">%，再根据实际情况拨付至项目批复概算的 </w:t>
      </w:r>
      <w:r>
        <w:rPr>
          <w:rFonts w:hint="eastAsia" w:asciiTheme="minorEastAsia" w:hAnsiTheme="minorEastAsia" w:eastAsiaTheme="minorEastAsia" w:cstheme="minorEastAsia"/>
          <w:sz w:val="24"/>
          <w:szCs w:val="24"/>
        </w:rPr>
        <w:t>90%；</w:t>
      </w:r>
    </w:p>
    <w:p>
      <w:pPr>
        <w:pStyle w:val="3"/>
        <w:spacing w:before="2" w:line="338" w:lineRule="auto"/>
        <w:ind w:right="262"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单纯设备采购类项目在设备到位且经安装验收合格后可拨付至中标价的 95%；</w:t>
      </w:r>
    </w:p>
    <w:p>
      <w:pPr>
        <w:pStyle w:val="3"/>
        <w:spacing w:before="2"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工程余款在工程竣工决算批复后，扣除建设管理费的10%以外，余下部分全部付清；剩余的建设管理费待完成项目资</w:t>
      </w:r>
      <w:r>
        <w:rPr>
          <w:rFonts w:hint="eastAsia" w:asciiTheme="minorEastAsia" w:hAnsiTheme="minorEastAsia" w:eastAsiaTheme="minorEastAsia" w:cstheme="minorEastAsia"/>
          <w:spacing w:val="-10"/>
          <w:sz w:val="24"/>
          <w:szCs w:val="24"/>
        </w:rPr>
        <w:t>产和财务移交后再予以支付。政府投资项目结余的财政资金应当按照有关规定缴回国库。</w:t>
      </w:r>
    </w:p>
    <w:p>
      <w:pPr>
        <w:pStyle w:val="3"/>
        <w:spacing w:before="2" w:line="338" w:lineRule="auto"/>
        <w:ind w:right="267" w:firstLine="6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第四十一条</w:t>
      </w:r>
      <w:r>
        <w:rPr>
          <w:rFonts w:hint="eastAsia" w:asciiTheme="minorEastAsia" w:hAnsiTheme="minorEastAsia" w:eastAsiaTheme="minorEastAsia" w:cstheme="minorEastAsia"/>
          <w:spacing w:val="-5"/>
          <w:sz w:val="24"/>
          <w:szCs w:val="24"/>
        </w:rPr>
        <w:tab/>
      </w:r>
      <w:r>
        <w:rPr>
          <w:rFonts w:hint="eastAsia" w:asciiTheme="minorEastAsia" w:hAnsiTheme="minorEastAsia" w:eastAsiaTheme="minorEastAsia" w:cstheme="minorEastAsia"/>
          <w:spacing w:val="-5"/>
          <w:sz w:val="24"/>
          <w:szCs w:val="24"/>
        </w:rPr>
        <w:t>土地房屋征收补偿费（主要包括土地和房屋征收补偿款、临时过渡安置费、补助和奖励费用、附属物补偿资金、拆除清运费、征收工作经费、不可预见费等），拨付金额以市政府或行业主管部门批复的概算为准，由市财政局直接拨付至项目辖区政府、园区或项目业主。</w:t>
      </w:r>
    </w:p>
    <w:p>
      <w:pPr>
        <w:pStyle w:val="3"/>
        <w:ind w:left="32" w:right="17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监督检查与法律责任</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市发改委、市</w:t>
      </w:r>
      <w:r>
        <w:rPr>
          <w:rFonts w:hint="eastAsia" w:asciiTheme="minorEastAsia" w:hAnsiTheme="minorEastAsia" w:eastAsiaTheme="minorEastAsia" w:cstheme="minorEastAsia"/>
          <w:sz w:val="24"/>
          <w:szCs w:val="24"/>
        </w:rPr>
        <w:t>财政局、市自然资源和规划局、</w:t>
      </w:r>
      <w:r>
        <w:rPr>
          <w:rFonts w:hint="eastAsia" w:asciiTheme="minorEastAsia" w:hAnsiTheme="minorEastAsia" w:eastAsiaTheme="minorEastAsia" w:cstheme="minorEastAsia"/>
          <w:spacing w:val="7"/>
          <w:sz w:val="24"/>
          <w:szCs w:val="24"/>
        </w:rPr>
        <w:t>市生态环境局等相关职能部门</w:t>
      </w:r>
      <w:r>
        <w:rPr>
          <w:rFonts w:hint="eastAsia" w:asciiTheme="minorEastAsia" w:hAnsiTheme="minorEastAsia" w:eastAsiaTheme="minorEastAsia" w:cstheme="minorEastAsia"/>
          <w:spacing w:val="8"/>
          <w:sz w:val="24"/>
          <w:szCs w:val="24"/>
        </w:rPr>
        <w:t>应</w:t>
      </w:r>
      <w:r>
        <w:rPr>
          <w:rFonts w:hint="eastAsia" w:asciiTheme="minorEastAsia" w:hAnsiTheme="minorEastAsia" w:eastAsiaTheme="minorEastAsia" w:cstheme="minorEastAsia"/>
          <w:spacing w:val="7"/>
          <w:sz w:val="24"/>
          <w:szCs w:val="24"/>
        </w:rPr>
        <w:t>共同参与研究政府投资项目计</w:t>
      </w:r>
      <w:r>
        <w:rPr>
          <w:rFonts w:hint="eastAsia" w:asciiTheme="minorEastAsia" w:hAnsiTheme="minorEastAsia" w:eastAsiaTheme="minorEastAsia" w:cstheme="minorEastAsia"/>
          <w:sz w:val="24"/>
          <w:szCs w:val="24"/>
        </w:rPr>
        <w:t>划</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协调推进政府投资项目建设</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监督政府投资项目计划执行情况</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并按照各自职责在项目建设的各个环节履行服务</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监督检查职责。</w:t>
      </w:r>
    </w:p>
    <w:p>
      <w:pPr>
        <w:pStyle w:val="3"/>
        <w:spacing w:before="2" w:line="338" w:lineRule="auto"/>
        <w:ind w:right="262" w:firstLine="632"/>
        <w:jc w:val="both"/>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24"/>
          <w:sz w:val="24"/>
          <w:szCs w:val="24"/>
        </w:rPr>
        <w:t xml:space="preserve">第四十三条 </w:t>
      </w:r>
      <w:r>
        <w:rPr>
          <w:rFonts w:hint="eastAsia" w:asciiTheme="minorEastAsia" w:hAnsiTheme="minorEastAsia" w:eastAsiaTheme="minorEastAsia" w:cstheme="minorEastAsia"/>
          <w:spacing w:val="-8"/>
          <w:sz w:val="24"/>
          <w:szCs w:val="24"/>
        </w:rPr>
        <w:t>政府有关部门有下列行为之一的</w:t>
      </w:r>
      <w:r>
        <w:rPr>
          <w:rFonts w:hint="eastAsia" w:asciiTheme="minorEastAsia" w:hAnsiTheme="minorEastAsia" w:eastAsiaTheme="minorEastAsia" w:cstheme="minorEastAsia"/>
          <w:sz w:val="24"/>
          <w:szCs w:val="24"/>
        </w:rPr>
        <w:t>（包括但不限</w:t>
      </w:r>
      <w:r>
        <w:rPr>
          <w:rFonts w:hint="eastAsia" w:asciiTheme="minorEastAsia" w:hAnsiTheme="minorEastAsia" w:eastAsiaTheme="minorEastAsia" w:cstheme="minorEastAsia"/>
          <w:spacing w:val="-1"/>
          <w:sz w:val="24"/>
          <w:szCs w:val="24"/>
        </w:rPr>
        <w:t>于</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pacing w:val="-5"/>
          <w:sz w:val="24"/>
          <w:szCs w:val="24"/>
        </w:rPr>
        <w:t>由市监察委责令限期改正，并依法追究其部门主要负责人</w:t>
      </w:r>
      <w:r>
        <w:rPr>
          <w:rFonts w:hint="eastAsia" w:asciiTheme="minorEastAsia" w:hAnsiTheme="minorEastAsia" w:eastAsiaTheme="minorEastAsia" w:cstheme="minorEastAsia"/>
          <w:spacing w:val="-9"/>
          <w:sz w:val="24"/>
          <w:szCs w:val="24"/>
        </w:rPr>
        <w:t>和直接责任人员的行政责任；构成犯罪的，提请司法机关依法追究刑事责任。</w:t>
      </w:r>
    </w:p>
    <w:p>
      <w:pPr>
        <w:pStyle w:val="3"/>
        <w:spacing w:before="3"/>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（一）违规办理或出具项目审批、许可文件等的；</w:t>
      </w:r>
    </w:p>
    <w:p>
      <w:pPr>
        <w:pStyle w:val="3"/>
        <w:spacing w:before="170"/>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（二）未按规定或无正当理由延迟拨付建设资金的；</w:t>
      </w:r>
    </w:p>
    <w:p>
      <w:pPr>
        <w:pStyle w:val="3"/>
        <w:spacing w:before="168"/>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（三）违反基本建设审批程序拨付建设资金的;</w:t>
      </w:r>
    </w:p>
    <w:p>
      <w:pPr>
        <w:pStyle w:val="3"/>
        <w:spacing w:before="170"/>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（四）利用职权干预招标投标活动的；</w:t>
      </w:r>
    </w:p>
    <w:p>
      <w:pPr>
        <w:pStyle w:val="3"/>
        <w:spacing w:before="168"/>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（五）未对申请人履行告知承诺制的审批事项进行检查的；</w:t>
      </w:r>
    </w:p>
    <w:p>
      <w:pPr>
        <w:pStyle w:val="3"/>
        <w:spacing w:before="170"/>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（六）强令或者授意项目建设单位违反本规定的；</w:t>
      </w:r>
    </w:p>
    <w:p>
      <w:pPr>
        <w:pStyle w:val="3"/>
        <w:spacing w:before="168"/>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（七）因故意或重大过失造成重大质量事故或重大损失的；</w:t>
      </w:r>
    </w:p>
    <w:p>
      <w:pPr>
        <w:pStyle w:val="3"/>
        <w:spacing w:before="170"/>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（八）滥用职权、玩忽职守、徇私舞弊、索贿受贿的；</w:t>
      </w:r>
    </w:p>
    <w:p>
      <w:pPr>
        <w:pStyle w:val="3"/>
        <w:spacing w:before="168"/>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（九）其他严重违反法律、法规及本规定的行为。</w:t>
      </w:r>
    </w:p>
    <w:p>
      <w:pPr>
        <w:pStyle w:val="3"/>
        <w:spacing w:before="55" w:line="338" w:lineRule="auto"/>
        <w:ind w:left="0" w:leftChars="0" w:right="268" w:firstLine="720" w:firstLineChars="3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第四十四条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项目业主、代建单位、勘察单位、设计单位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pacing w:val="-12"/>
          <w:sz w:val="24"/>
          <w:szCs w:val="24"/>
        </w:rPr>
        <w:t>施工单位、监理单位、招标代理单位、咨询评估单位等参建单位及使用、管养等接管单位在其参与的项目建设环节或接管方面有下列行为之一的（包括但不限于），依法依规追究相应责任：</w:t>
      </w:r>
    </w:p>
    <w:p>
      <w:pPr>
        <w:pStyle w:val="3"/>
        <w:spacing w:before="4" w:line="338" w:lineRule="auto"/>
        <w:ind w:right="266"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9"/>
          <w:sz w:val="24"/>
          <w:szCs w:val="24"/>
        </w:rPr>
        <w:t>存在串通造假、故意虚报、重大疏漏、管理缺位等行为的；</w:t>
      </w:r>
    </w:p>
    <w:p>
      <w:pPr>
        <w:pStyle w:val="3"/>
        <w:spacing w:before="1"/>
        <w:ind w:left="7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pacing w:val="-135"/>
          <w:sz w:val="24"/>
          <w:szCs w:val="24"/>
        </w:rPr>
        <w:t>）</w:t>
      </w:r>
      <w:r>
        <w:rPr>
          <w:rFonts w:hint="eastAsia" w:asciiTheme="minorEastAsia" w:hAnsiTheme="minorEastAsia" w:eastAsiaTheme="minorEastAsia" w:cstheme="minorEastAsia"/>
          <w:spacing w:val="-12"/>
          <w:sz w:val="24"/>
          <w:szCs w:val="24"/>
        </w:rPr>
        <w:t>已经批准的项目，无正当理由未及时实施或者完工的；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（三）违反国家有关规定擅自开工建设的；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1"/>
          <w:sz w:val="24"/>
          <w:szCs w:val="24"/>
        </w:rPr>
        <w:t>四）未经批准擅自改变建设标准、建设内容和规模的；</w:t>
      </w:r>
    </w:p>
    <w:p>
      <w:pPr>
        <w:pStyle w:val="3"/>
        <w:tabs>
          <w:tab w:val="left" w:pos="2679"/>
        </w:tabs>
        <w:spacing w:before="170"/>
        <w:ind w:left="760"/>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1"/>
          <w:sz w:val="24"/>
          <w:szCs w:val="24"/>
        </w:rPr>
        <w:t>五）设计质量低劣，存在错误、失误、漏项等情况的</w:t>
      </w:r>
    </w:p>
    <w:p>
      <w:pPr>
        <w:pStyle w:val="3"/>
        <w:spacing w:before="169"/>
        <w:ind w:left="0" w:leftChars="0"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（六）未按有关规定进行招标投标的；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（七）转移、侵占或者挪用建设资金的；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（八）未按规定时限办理工程竣工决算的；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（九）没有完成验收即交付使用的；</w:t>
      </w:r>
    </w:p>
    <w:p>
      <w:pPr>
        <w:pStyle w:val="3"/>
        <w:spacing w:before="169"/>
        <w:ind w:left="7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（十）实行告知承诺制审批事项的申请人未履行承诺义务的；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（十一）接管单位无故不接管工程项目的；</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（十二）其他严重违反本规定的行为。</w:t>
      </w:r>
    </w:p>
    <w:p>
      <w:pPr>
        <w:pStyle w:val="3"/>
        <w:spacing w:before="169"/>
        <w:ind w:left="7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上述行为造成投资损失的，相关责任单位应依法承担赔偿责任。</w:t>
      </w:r>
    </w:p>
    <w:p>
      <w:pPr>
        <w:pStyle w:val="3"/>
        <w:tabs>
          <w:tab w:val="left" w:pos="2680"/>
        </w:tabs>
        <w:spacing w:before="170" w:line="338" w:lineRule="auto"/>
        <w:ind w:right="161" w:firstLine="63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附则</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使用国家、省级资</w:t>
      </w:r>
      <w:r>
        <w:rPr>
          <w:rFonts w:hint="eastAsia" w:asciiTheme="minorEastAsia" w:hAnsiTheme="minorEastAsia" w:eastAsiaTheme="minorEastAsia" w:cstheme="minorEastAsia"/>
          <w:sz w:val="24"/>
          <w:szCs w:val="24"/>
        </w:rPr>
        <w:t>金的项目或国家及省有关规定由行业主管部门审批的项目从其规定。政府与社会资本合作（PPP）项目的前期审批和建设管理应参照本规定执行；科学技术信息化类和农业农村类等项目可参照本规定执行；各园区、辖区政府投资项目的建设管理可参照本规定执行。</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卫生健康、教育、文化、体育等公共事业领域可参照《海南省政府投资社会领域基本建设项目实行代管制暂行办法</w:t>
      </w:r>
      <w:r>
        <w:rPr>
          <w:rFonts w:hint="eastAsia" w:asciiTheme="minorEastAsia" w:hAnsiTheme="minorEastAsia" w:eastAsiaTheme="minorEastAsia" w:cstheme="minorEastAsia"/>
          <w:sz w:val="24"/>
          <w:szCs w:val="24"/>
        </w:rPr>
        <w:t>（修订）</w:t>
      </w:r>
      <w:r>
        <w:rPr>
          <w:rFonts w:hint="eastAsia" w:asciiTheme="minorEastAsia" w:hAnsiTheme="minorEastAsia" w:eastAsiaTheme="minorEastAsia" w:cstheme="minorEastAsia"/>
          <w:sz w:val="24"/>
          <w:szCs w:val="24"/>
        </w:rPr>
        <w:t>》</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（琼府办〔2021〕42 号）执行。</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项目建设管理费、</w:t>
      </w:r>
      <w:r>
        <w:rPr>
          <w:rFonts w:hint="eastAsia" w:asciiTheme="minorEastAsia" w:hAnsiTheme="minorEastAsia" w:eastAsiaTheme="minorEastAsia" w:cstheme="minorEastAsia"/>
          <w:sz w:val="24"/>
          <w:szCs w:val="24"/>
        </w:rPr>
        <w:t>代建管理费、</w:t>
      </w:r>
      <w:r>
        <w:rPr>
          <w:rFonts w:hint="eastAsia" w:asciiTheme="minorEastAsia" w:hAnsiTheme="minorEastAsia" w:eastAsiaTheme="minorEastAsia" w:cstheme="minorEastAsia"/>
          <w:sz w:val="24"/>
          <w:szCs w:val="24"/>
        </w:rPr>
        <w:t>利润或奖励资金按财政部《基本建设项目</w:t>
      </w:r>
      <w:r>
        <w:rPr>
          <w:rFonts w:hint="eastAsia" w:asciiTheme="minorEastAsia" w:hAnsiTheme="minorEastAsia" w:eastAsiaTheme="minorEastAsia" w:cstheme="minorEastAsia"/>
          <w:sz w:val="24"/>
          <w:szCs w:val="24"/>
        </w:rPr>
        <w:t xml:space="preserve">建设成本管理规定》（财建〔2016〕504 </w:t>
      </w:r>
      <w:r>
        <w:rPr>
          <w:rFonts w:hint="eastAsia" w:asciiTheme="minorEastAsia" w:hAnsiTheme="minorEastAsia" w:eastAsiaTheme="minorEastAsia" w:cstheme="minorEastAsia"/>
          <w:sz w:val="24"/>
          <w:szCs w:val="24"/>
        </w:rPr>
        <w:t>号）执行。</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本规定</w:t>
      </w:r>
      <w:r>
        <w:rPr>
          <w:rFonts w:hint="eastAsia" w:asciiTheme="minorEastAsia" w:hAnsiTheme="minorEastAsia" w:eastAsiaTheme="minorEastAsia" w:cstheme="minorEastAsia"/>
          <w:sz w:val="24"/>
          <w:szCs w:val="24"/>
        </w:rPr>
        <w:t>由市发改委负责解释。</w:t>
      </w:r>
      <w:r>
        <w:rPr>
          <w:rFonts w:hint="eastAsia" w:asciiTheme="minorEastAsia" w:hAnsiTheme="minorEastAsia" w:eastAsiaTheme="minorEastAsia" w:cstheme="minorEastAsia"/>
          <w:sz w:val="24"/>
          <w:szCs w:val="24"/>
        </w:rPr>
        <w:t>国家、</w:t>
      </w:r>
      <w:r>
        <w:rPr>
          <w:rFonts w:hint="eastAsia" w:asciiTheme="minorEastAsia" w:hAnsiTheme="minorEastAsia" w:eastAsiaTheme="minorEastAsia" w:cstheme="minorEastAsia"/>
          <w:sz w:val="24"/>
          <w:szCs w:val="24"/>
        </w:rPr>
        <w:t>省有特别规定的，从其规定。</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本规定自 </w:t>
      </w:r>
      <w:r>
        <w:rPr>
          <w:rFonts w:hint="eastAsia" w:asciiTheme="minorEastAsia" w:hAnsiTheme="minorEastAsia" w:eastAsiaTheme="minorEastAsia" w:cstheme="minorEastAsia"/>
          <w:sz w:val="24"/>
          <w:szCs w:val="24"/>
        </w:rPr>
        <w:t xml:space="preserve">2021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rPr>
        <w:t xml:space="preserve">12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rPr>
        <w:t xml:space="preserve">17 </w:t>
      </w:r>
      <w:r>
        <w:rPr>
          <w:rFonts w:hint="eastAsia" w:asciiTheme="minorEastAsia" w:hAnsiTheme="minorEastAsia" w:eastAsiaTheme="minorEastAsia" w:cstheme="minorEastAsia"/>
          <w:sz w:val="24"/>
          <w:szCs w:val="24"/>
        </w:rPr>
        <w:t>日起施行，有效期</w:t>
      </w:r>
      <w:r>
        <w:rPr>
          <w:rFonts w:hint="eastAsia" w:asciiTheme="minorEastAsia" w:hAnsiTheme="minorEastAsia" w:eastAsiaTheme="minorEastAsia" w:cstheme="minorEastAsia"/>
          <w:spacing w:val="-7"/>
          <w:sz w:val="24"/>
          <w:szCs w:val="24"/>
        </w:rPr>
        <w:t>五年。</w:t>
      </w: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pacing w:val="-56"/>
          <w:sz w:val="24"/>
          <w:szCs w:val="24"/>
        </w:rPr>
        <w:t xml:space="preserve"> 年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56"/>
          <w:sz w:val="24"/>
          <w:szCs w:val="24"/>
        </w:rPr>
        <w:t xml:space="preserve"> 月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11"/>
          <w:sz w:val="24"/>
          <w:szCs w:val="24"/>
        </w:rPr>
        <w:t xml:space="preserve"> 日公布的《海口市政府投资项目管理规定》</w:t>
      </w:r>
    </w:p>
    <w:p>
      <w:pPr>
        <w:pStyle w:val="3"/>
        <w:tabs>
          <w:tab w:val="left" w:pos="2680"/>
        </w:tabs>
        <w:spacing w:before="170" w:line="338" w:lineRule="auto"/>
        <w:ind w:right="161" w:firstLine="6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（海府办规〔</w:t>
      </w: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z w:val="24"/>
          <w:szCs w:val="24"/>
        </w:rPr>
        <w:t>1 号）同时废止。本规定印发实施前已拨付资金的项目，按其项目当期实施时的《海口市政府投资项目管理规定》中的资金拨付条款办理。</w:t>
      </w:r>
    </w:p>
    <w:p>
      <w:pPr>
        <w:pStyle w:val="3"/>
        <w:spacing w:before="2" w:line="338" w:lineRule="auto"/>
        <w:ind w:right="262" w:firstLine="632"/>
        <w:jc w:val="both"/>
        <w:rPr>
          <w:rFonts w:hint="eastAsia" w:asciiTheme="minorEastAsia" w:hAnsiTheme="minorEastAsia" w:eastAsiaTheme="minorEastAsia" w:cstheme="minorEastAsia"/>
          <w:spacing w:val="-9"/>
          <w:sz w:val="24"/>
          <w:szCs w:val="24"/>
        </w:rPr>
      </w:pPr>
    </w:p>
    <w:p>
      <w:pPr>
        <w:pStyle w:val="3"/>
        <w:spacing w:before="2" w:line="338" w:lineRule="auto"/>
        <w:ind w:right="107" w:firstLine="632"/>
        <w:rPr>
          <w:rFonts w:hint="eastAsia" w:asciiTheme="minorEastAsia" w:hAnsiTheme="minorEastAsia" w:eastAsiaTheme="minorEastAsia" w:cstheme="minorEastAsia"/>
          <w:sz w:val="24"/>
          <w:szCs w:val="24"/>
        </w:rPr>
      </w:pPr>
    </w:p>
    <w:p>
      <w:pPr>
        <w:pStyle w:val="3"/>
        <w:spacing w:before="5" w:line="338" w:lineRule="auto"/>
        <w:ind w:right="268" w:firstLine="632"/>
        <w:jc w:val="both"/>
        <w:rPr>
          <w:rFonts w:hint="eastAsia" w:asciiTheme="minorEastAsia" w:hAnsiTheme="minorEastAsia" w:eastAsiaTheme="minorEastAsia" w:cstheme="minorEastAsia"/>
          <w:spacing w:val="24"/>
          <w:sz w:val="24"/>
          <w:szCs w:val="24"/>
        </w:rPr>
      </w:pPr>
    </w:p>
    <w:p>
      <w:pPr>
        <w:pStyle w:val="3"/>
        <w:tabs>
          <w:tab w:val="left" w:pos="2738"/>
        </w:tabs>
        <w:spacing w:before="2" w:line="338" w:lineRule="auto"/>
        <w:ind w:right="261" w:firstLine="632"/>
        <w:rPr>
          <w:rFonts w:hint="eastAsia" w:asciiTheme="minorEastAsia" w:hAnsiTheme="minorEastAsia" w:eastAsiaTheme="minorEastAsia" w:cstheme="minorEastAsia"/>
          <w:sz w:val="24"/>
          <w:szCs w:val="24"/>
        </w:rPr>
      </w:pPr>
    </w:p>
    <w:p>
      <w:pPr>
        <w:pStyle w:val="3"/>
        <w:spacing w:before="2"/>
        <w:ind w:left="760"/>
        <w:jc w:val="both"/>
        <w:rPr>
          <w:rFonts w:hint="eastAsia" w:asciiTheme="minorEastAsia" w:hAnsiTheme="minorEastAsia" w:eastAsiaTheme="minorEastAsia" w:cstheme="minorEastAsia"/>
          <w:sz w:val="24"/>
          <w:szCs w:val="24"/>
        </w:rPr>
      </w:pPr>
    </w:p>
    <w:p>
      <w:pPr>
        <w:pStyle w:val="3"/>
        <w:spacing w:before="3"/>
        <w:ind w:left="760"/>
        <w:rPr>
          <w:rFonts w:hint="eastAsia" w:asciiTheme="minorEastAsia" w:hAnsiTheme="minorEastAsia" w:eastAsiaTheme="minorEastAsia" w:cstheme="minorEastAsia"/>
          <w:sz w:val="24"/>
          <w:szCs w:val="24"/>
        </w:rPr>
      </w:pPr>
    </w:p>
    <w:p>
      <w:pPr>
        <w:pStyle w:val="3"/>
        <w:spacing w:before="4"/>
        <w:ind w:left="759"/>
        <w:jc w:val="both"/>
        <w:rPr>
          <w:rFonts w:hint="eastAsia" w:asciiTheme="minorEastAsia" w:hAnsiTheme="minorEastAsia" w:eastAsiaTheme="minorEastAsia" w:cstheme="minorEastAsia"/>
          <w:sz w:val="24"/>
          <w:szCs w:val="24"/>
        </w:rPr>
      </w:pPr>
    </w:p>
    <w:p>
      <w:pPr>
        <w:pStyle w:val="3"/>
        <w:numPr>
          <w:numId w:val="0"/>
        </w:numPr>
        <w:tabs>
          <w:tab w:val="left" w:pos="2411"/>
        </w:tabs>
        <w:spacing w:before="2" w:line="338" w:lineRule="auto"/>
        <w:ind w:left="759" w:leftChars="0" w:right="262" w:rightChars="0"/>
        <w:rPr>
          <w:rFonts w:hint="eastAsia" w:asciiTheme="minorEastAsia" w:hAnsiTheme="minorEastAsia" w:eastAsiaTheme="minorEastAsia" w:cstheme="minorEastAsia"/>
          <w:sz w:val="24"/>
          <w:szCs w:val="24"/>
        </w:rPr>
      </w:pPr>
    </w:p>
    <w:p>
      <w:pPr>
        <w:pStyle w:val="3"/>
        <w:spacing w:before="2" w:line="338" w:lineRule="auto"/>
        <w:ind w:right="262" w:firstLine="632"/>
        <w:jc w:val="both"/>
        <w:rPr>
          <w:rFonts w:hint="eastAsia" w:asciiTheme="minorEastAsia" w:hAnsiTheme="minorEastAsia" w:eastAsiaTheme="minorEastAsia" w:cstheme="minorEastAsia"/>
          <w:sz w:val="24"/>
          <w:szCs w:val="24"/>
          <w:lang w:val="en-US" w:eastAsia="zh-CN"/>
        </w:rPr>
        <w:sectPr>
          <w:footerReference r:id="rId5" w:type="default"/>
          <w:footerReference r:id="rId6" w:type="even"/>
          <w:type w:val="continuous"/>
          <w:pgSz w:w="11910" w:h="16840"/>
          <w:pgMar w:top="1600" w:right="1200" w:bottom="1780" w:left="1460" w:header="720" w:footer="1580" w:gutter="0"/>
          <w:pgNumType w:start="1"/>
          <w:cols w:space="720" w:num="1"/>
        </w:sectPr>
      </w:pPr>
    </w:p>
    <w:p>
      <w:pPr>
        <w:pStyle w:val="3"/>
        <w:spacing w:before="170"/>
        <w:ind w:left="759"/>
        <w:rPr>
          <w:rFonts w:hint="eastAsia" w:asciiTheme="minorEastAsia" w:hAnsiTheme="minorEastAsia" w:eastAsiaTheme="minorEastAsia" w:cstheme="minorEastAsia"/>
          <w:sz w:val="24"/>
          <w:szCs w:val="24"/>
        </w:rPr>
      </w:pPr>
    </w:p>
    <w:p>
      <w:pPr>
        <w:pStyle w:val="3"/>
        <w:spacing w:before="1"/>
        <w:ind w:left="0"/>
        <w:rPr>
          <w:rFonts w:hint="eastAsia" w:asciiTheme="minorEastAsia" w:hAnsiTheme="minorEastAsia" w:eastAsiaTheme="minorEastAsia" w:cstheme="minorEastAsia"/>
          <w:sz w:val="24"/>
          <w:szCs w:val="24"/>
        </w:rPr>
      </w:pPr>
    </w:p>
    <w:p>
      <w:pPr>
        <w:pStyle w:val="3"/>
        <w:ind w:left="0"/>
        <w:rPr>
          <w:rFonts w:hint="eastAsia" w:asciiTheme="minorEastAsia" w:hAnsiTheme="minorEastAsia" w:eastAsiaTheme="minorEastAsia" w:cstheme="minorEastAsia"/>
          <w:sz w:val="24"/>
          <w:szCs w:val="24"/>
        </w:rPr>
      </w:pPr>
    </w:p>
    <w:p>
      <w:pPr>
        <w:pStyle w:val="3"/>
        <w:spacing w:before="1"/>
        <w:ind w:left="0"/>
        <w:rPr>
          <w:rFonts w:hint="eastAsia" w:asciiTheme="minorEastAsia" w:hAnsiTheme="minorEastAsia" w:eastAsiaTheme="minorEastAsia" w:cstheme="minorEastAsia"/>
          <w:sz w:val="24"/>
          <w:szCs w:val="24"/>
        </w:rPr>
      </w:pPr>
    </w:p>
    <w:p>
      <w:pPr>
        <w:pStyle w:val="3"/>
        <w:ind w:left="0"/>
        <w:rPr>
          <w:rFonts w:hint="eastAsia" w:asciiTheme="minorEastAsia" w:hAnsiTheme="minorEastAsia" w:eastAsiaTheme="minorEastAsia" w:cstheme="minorEastAsia"/>
          <w:sz w:val="24"/>
          <w:szCs w:val="24"/>
        </w:rPr>
      </w:pPr>
    </w:p>
    <w:p>
      <w:pPr>
        <w:pStyle w:val="3"/>
        <w:spacing w:before="1"/>
        <w:ind w:left="0"/>
        <w:rPr>
          <w:rFonts w:hint="eastAsia" w:asciiTheme="minorEastAsia" w:hAnsiTheme="minorEastAsia" w:eastAsiaTheme="minorEastAsia" w:cstheme="minorEastAsia"/>
          <w:sz w:val="24"/>
          <w:szCs w:val="24"/>
        </w:rPr>
      </w:pPr>
    </w:p>
    <w:p>
      <w:pPr>
        <w:pStyle w:val="3"/>
        <w:spacing w:before="2" w:line="338" w:lineRule="auto"/>
        <w:ind w:right="262" w:firstLine="632"/>
        <w:rPr>
          <w:rFonts w:hint="eastAsia" w:asciiTheme="minorEastAsia" w:hAnsiTheme="minorEastAsia" w:eastAsiaTheme="minorEastAsia" w:cstheme="minorEastAsia"/>
          <w:sz w:val="24"/>
          <w:szCs w:val="24"/>
        </w:rPr>
      </w:pPr>
    </w:p>
    <w:p>
      <w:pPr>
        <w:pStyle w:val="3"/>
        <w:spacing w:before="3" w:line="338" w:lineRule="auto"/>
        <w:ind w:right="267" w:firstLine="632"/>
        <w:jc w:val="both"/>
        <w:rPr>
          <w:rFonts w:hint="eastAsia" w:asciiTheme="minorEastAsia" w:hAnsiTheme="minorEastAsia" w:eastAsiaTheme="minorEastAsia" w:cstheme="minorEastAsia"/>
          <w:spacing w:val="-7"/>
          <w:sz w:val="24"/>
          <w:szCs w:val="24"/>
        </w:rPr>
      </w:pPr>
    </w:p>
    <w:p>
      <w:pPr>
        <w:spacing w:after="0" w:line="338" w:lineRule="auto"/>
        <w:jc w:val="both"/>
        <w:rPr>
          <w:rFonts w:hint="eastAsia" w:asciiTheme="minorEastAsia" w:hAnsiTheme="minorEastAsia" w:eastAsiaTheme="minorEastAsia" w:cstheme="minorEastAsia"/>
          <w:sz w:val="24"/>
          <w:szCs w:val="24"/>
        </w:rPr>
        <w:sectPr>
          <w:pgSz w:w="11910" w:h="16840"/>
          <w:pgMar w:top="1600" w:right="1200" w:bottom="1780" w:left="1460" w:header="0" w:footer="1580" w:gutter="0"/>
          <w:cols w:space="720" w:num="1"/>
        </w:sectPr>
      </w:pPr>
    </w:p>
    <w:p>
      <w:pPr>
        <w:pStyle w:val="3"/>
        <w:spacing w:before="3" w:line="338" w:lineRule="auto"/>
        <w:ind w:right="266" w:firstLine="632"/>
        <w:jc w:val="both"/>
        <w:rPr>
          <w:rFonts w:hint="eastAsia" w:asciiTheme="minorEastAsia" w:hAnsiTheme="minorEastAsia" w:eastAsiaTheme="minorEastAsia" w:cstheme="minorEastAsia"/>
          <w:sz w:val="24"/>
          <w:szCs w:val="24"/>
        </w:rPr>
      </w:pPr>
    </w:p>
    <w:p>
      <w:pPr>
        <w:pStyle w:val="3"/>
        <w:spacing w:before="4" w:line="338" w:lineRule="auto"/>
        <w:ind w:right="267" w:firstLine="632"/>
        <w:jc w:val="both"/>
        <w:rPr>
          <w:rFonts w:hint="eastAsia" w:asciiTheme="minorEastAsia" w:hAnsiTheme="minorEastAsia" w:eastAsiaTheme="minorEastAsia" w:cstheme="minorEastAsia"/>
          <w:spacing w:val="-11"/>
          <w:sz w:val="24"/>
          <w:szCs w:val="24"/>
        </w:rPr>
      </w:pPr>
    </w:p>
    <w:p>
      <w:pPr>
        <w:pStyle w:val="3"/>
        <w:tabs>
          <w:tab w:val="left" w:pos="2039"/>
        </w:tabs>
        <w:spacing w:before="4"/>
        <w:ind w:left="760"/>
        <w:rPr>
          <w:rFonts w:hint="eastAsia" w:asciiTheme="minorEastAsia" w:hAnsiTheme="minorEastAsia" w:eastAsiaTheme="minorEastAsia" w:cstheme="minorEastAsia"/>
          <w:sz w:val="24"/>
          <w:szCs w:val="24"/>
        </w:rPr>
        <w:sectPr>
          <w:pgSz w:w="11910" w:h="16840"/>
          <w:pgMar w:top="1600" w:right="1200" w:bottom="1780" w:left="1460" w:header="0" w:footer="1580" w:gutter="0"/>
          <w:cols w:space="720" w:num="1"/>
        </w:sectPr>
      </w:pPr>
    </w:p>
    <w:p>
      <w:pPr>
        <w:pStyle w:val="3"/>
        <w:ind w:left="0"/>
        <w:rPr>
          <w:rFonts w:hint="eastAsia" w:asciiTheme="minorEastAsia" w:hAnsiTheme="minorEastAsia" w:eastAsiaTheme="minorEastAsia" w:cstheme="minorEastAsia"/>
          <w:sz w:val="24"/>
          <w:szCs w:val="24"/>
        </w:rPr>
      </w:pPr>
    </w:p>
    <w:sectPr>
      <w:pgSz w:w="11910" w:h="16840"/>
      <w:pgMar w:top="1600" w:right="1200" w:bottom="1780" w:left="1460" w:header="0" w:footer="15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5697220</wp:posOffset>
              </wp:positionH>
              <wp:positionV relativeFrom="page">
                <wp:posOffset>9549765</wp:posOffset>
              </wp:positionV>
              <wp:extent cx="775335"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5335" cy="203200"/>
                      </a:xfrm>
                      <a:prstGeom prst="rect">
                        <a:avLst/>
                      </a:prstGeom>
                      <a:noFill/>
                      <a:ln>
                        <a:noFill/>
                      </a:ln>
                    </wps:spPr>
                    <wps:txbx>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8.6pt;margin-top:751.95pt;height:16pt;width:61.05pt;mso-position-horizontal-relative:page;mso-position-vertical-relative:page;z-index:-251657216;mso-width-relative:page;mso-height-relative:page;" filled="f" stroked="f" coordsize="21600,21600" o:gfxdata="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hOH4fbAAAADgEAAA8AAAAAAAAAAQAgAAAAIgAAAGRycy9kb3ducmV2LnhtbFBL&#10;AQIUABQAAAAIAIdO4kBDdUirugEAAHEDAAAOAAAAAAAAAAEAIAAAACoBAABkcnMvZTJvRG9jLnht&#10;bFBLBQYAAAAABgAGAFkBAABWBQAAAAA=&#10;">
              <v:fill on="f" focussize="0,0"/>
              <v:stroke on="f"/>
              <v:imagedata o:title=""/>
              <o:lock v:ext="edit" aspectratio="f"/>
              <v:textbox inset="0mm,0mm,0mm,0mm">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1198880</wp:posOffset>
              </wp:positionH>
              <wp:positionV relativeFrom="page">
                <wp:posOffset>9549765</wp:posOffset>
              </wp:positionV>
              <wp:extent cx="775335" cy="203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5335" cy="203200"/>
                      </a:xfrm>
                      <a:prstGeom prst="rect">
                        <a:avLst/>
                      </a:prstGeom>
                      <a:noFill/>
                      <a:ln>
                        <a:noFill/>
                      </a:ln>
                    </wps:spPr>
                    <wps:txbx>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94.4pt;margin-top:751.95pt;height:16pt;width:61.05pt;mso-position-horizontal-relative:page;mso-position-vertical-relative:page;z-index:-251656192;mso-width-relative:page;mso-height-relative:page;" filled="f" stroked="f" coordsize="21600,21600" o:gfxdata="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2Nhg2gAAAA0BAAAPAAAAAAAAAAEAIAAAACIAAABkcnMvZG93bnJldi54bWxQSwEC&#10;FAAUAAAACACHTuJAHWFDlbkBAABxAwAADgAAAAAAAAABACAAAAApAQAAZHJzL2Uyb0RvYy54bWxQ&#10;SwUGAAAAAAYABgBZAQAAVAUAAAAA&#10;">
              <v:fill on="f" focussize="0,0"/>
              <v:stroke on="f"/>
              <v:imagedata o:title=""/>
              <o:lock v:ext="edit" aspectratio="f"/>
              <v:textbox inset="0mm,0mm,0mm,0mm">
                <w:txbxContent>
                  <w:p>
                    <w:pPr>
                      <w:spacing w:before="0" w:line="32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081" w:hanging="322"/>
        <w:jc w:val="left"/>
      </w:pPr>
      <w:rPr>
        <w:rFonts w:hint="default" w:ascii="仿宋_GB2312" w:hAnsi="仿宋_GB2312" w:eastAsia="仿宋_GB2312" w:cs="仿宋_GB2312"/>
        <w:spacing w:val="-1"/>
        <w:w w:val="100"/>
        <w:sz w:val="30"/>
        <w:szCs w:val="30"/>
        <w:lang w:val="en-US" w:eastAsia="zh-CN" w:bidi="ar-SA"/>
      </w:rPr>
    </w:lvl>
    <w:lvl w:ilvl="1" w:tentative="0">
      <w:start w:val="0"/>
      <w:numFmt w:val="bullet"/>
      <w:lvlText w:val="•"/>
      <w:lvlJc w:val="left"/>
      <w:pPr>
        <w:ind w:left="1896" w:hanging="322"/>
      </w:pPr>
      <w:rPr>
        <w:rFonts w:hint="default"/>
        <w:lang w:val="en-US" w:eastAsia="zh-CN" w:bidi="ar-SA"/>
      </w:rPr>
    </w:lvl>
    <w:lvl w:ilvl="2" w:tentative="0">
      <w:start w:val="0"/>
      <w:numFmt w:val="bullet"/>
      <w:lvlText w:val="•"/>
      <w:lvlJc w:val="left"/>
      <w:pPr>
        <w:ind w:left="2712" w:hanging="322"/>
      </w:pPr>
      <w:rPr>
        <w:rFonts w:hint="default"/>
        <w:lang w:val="en-US" w:eastAsia="zh-CN" w:bidi="ar-SA"/>
      </w:rPr>
    </w:lvl>
    <w:lvl w:ilvl="3" w:tentative="0">
      <w:start w:val="0"/>
      <w:numFmt w:val="bullet"/>
      <w:lvlText w:val="•"/>
      <w:lvlJc w:val="left"/>
      <w:pPr>
        <w:ind w:left="3529" w:hanging="322"/>
      </w:pPr>
      <w:rPr>
        <w:rFonts w:hint="default"/>
        <w:lang w:val="en-US" w:eastAsia="zh-CN" w:bidi="ar-SA"/>
      </w:rPr>
    </w:lvl>
    <w:lvl w:ilvl="4" w:tentative="0">
      <w:start w:val="0"/>
      <w:numFmt w:val="bullet"/>
      <w:lvlText w:val="•"/>
      <w:lvlJc w:val="left"/>
      <w:pPr>
        <w:ind w:left="4345" w:hanging="322"/>
      </w:pPr>
      <w:rPr>
        <w:rFonts w:hint="default"/>
        <w:lang w:val="en-US" w:eastAsia="zh-CN" w:bidi="ar-SA"/>
      </w:rPr>
    </w:lvl>
    <w:lvl w:ilvl="5" w:tentative="0">
      <w:start w:val="0"/>
      <w:numFmt w:val="bullet"/>
      <w:lvlText w:val="•"/>
      <w:lvlJc w:val="left"/>
      <w:pPr>
        <w:ind w:left="5162" w:hanging="322"/>
      </w:pPr>
      <w:rPr>
        <w:rFonts w:hint="default"/>
        <w:lang w:val="en-US" w:eastAsia="zh-CN" w:bidi="ar-SA"/>
      </w:rPr>
    </w:lvl>
    <w:lvl w:ilvl="6" w:tentative="0">
      <w:start w:val="0"/>
      <w:numFmt w:val="bullet"/>
      <w:lvlText w:val="•"/>
      <w:lvlJc w:val="left"/>
      <w:pPr>
        <w:ind w:left="5978" w:hanging="322"/>
      </w:pPr>
      <w:rPr>
        <w:rFonts w:hint="default"/>
        <w:lang w:val="en-US" w:eastAsia="zh-CN" w:bidi="ar-SA"/>
      </w:rPr>
    </w:lvl>
    <w:lvl w:ilvl="7" w:tentative="0">
      <w:start w:val="0"/>
      <w:numFmt w:val="bullet"/>
      <w:lvlText w:val="•"/>
      <w:lvlJc w:val="left"/>
      <w:pPr>
        <w:ind w:left="6795" w:hanging="322"/>
      </w:pPr>
      <w:rPr>
        <w:rFonts w:hint="default"/>
        <w:lang w:val="en-US" w:eastAsia="zh-CN" w:bidi="ar-SA"/>
      </w:rPr>
    </w:lvl>
    <w:lvl w:ilvl="8" w:tentative="0">
      <w:start w:val="0"/>
      <w:numFmt w:val="bullet"/>
      <w:lvlText w:val="•"/>
      <w:lvlJc w:val="left"/>
      <w:pPr>
        <w:ind w:left="7611" w:hanging="322"/>
      </w:pPr>
      <w:rPr>
        <w:rFonts w:hint="default"/>
        <w:lang w:val="en-US" w:eastAsia="zh-CN" w:bidi="ar-SA"/>
      </w:rPr>
    </w:lvl>
  </w:abstractNum>
  <w:abstractNum w:abstractNumId="1">
    <w:nsid w:val="517459BE"/>
    <w:multiLevelType w:val="singleLevel"/>
    <w:tmpl w:val="517459BE"/>
    <w:lvl w:ilvl="0" w:tentative="0">
      <w:start w:val="1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6B6714B1"/>
    <w:rsid w:val="70B54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zh-CN" w:bidi="ar-SA"/>
    </w:rPr>
  </w:style>
  <w:style w:type="paragraph" w:styleId="2">
    <w:name w:val="heading 1"/>
    <w:basedOn w:val="1"/>
    <w:next w:val="1"/>
    <w:qFormat/>
    <w:uiPriority w:val="1"/>
    <w:pPr>
      <w:spacing w:line="649" w:lineRule="exact"/>
      <w:ind w:left="32" w:right="174"/>
      <w:jc w:val="center"/>
      <w:outlineLvl w:val="1"/>
    </w:pPr>
    <w:rPr>
      <w:rFonts w:ascii="华文中宋" w:hAnsi="华文中宋" w:eastAsia="华文中宋" w:cs="华文中宋"/>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7"/>
    </w:pPr>
    <w:rPr>
      <w:rFonts w:ascii="仿宋_GB2312" w:hAnsi="仿宋_GB2312" w:eastAsia="仿宋_GB2312" w:cs="仿宋_GB2312"/>
      <w:sz w:val="32"/>
      <w:szCs w:val="32"/>
      <w:lang w:val="en-US" w:eastAsia="zh-CN" w:bidi="ar-SA"/>
    </w:rPr>
  </w:style>
  <w:style w:type="paragraph" w:styleId="4">
    <w:name w:val="Title"/>
    <w:basedOn w:val="1"/>
    <w:qFormat/>
    <w:uiPriority w:val="1"/>
    <w:pPr>
      <w:spacing w:line="1581" w:lineRule="exact"/>
      <w:ind w:left="32" w:right="177"/>
      <w:jc w:val="center"/>
    </w:pPr>
    <w:rPr>
      <w:rFonts w:ascii="方正小标宋简体" w:hAnsi="方正小标宋简体" w:eastAsia="方正小标宋简体" w:cs="方正小标宋简体"/>
      <w:sz w:val="100"/>
      <w:szCs w:val="1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8"/>
      <w:ind w:left="127" w:hanging="322"/>
    </w:pPr>
    <w:rPr>
      <w:rFonts w:ascii="仿宋_GB2312" w:hAnsi="仿宋_GB2312" w:eastAsia="仿宋_GB2312" w:cs="仿宋_GB2312"/>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8844</Words>
  <Characters>8919</Characters>
  <TotalTime>2</TotalTime>
  <ScaleCrop>false</ScaleCrop>
  <LinksUpToDate>false</LinksUpToDate>
  <CharactersWithSpaces>9563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2021-11-23T08:01:00Z</dcterms:created>
  <dc:creator>mishuchu1</dc:creator>
  <cp:lastModifiedBy>日月当空</cp:lastModifiedBy>
  <dcterms:modified xsi:type="dcterms:W3CDTF">2023-01-04T04:56:25Z</dcterms:modified>
  <dc:title>&lt;4D6963726F736F667420576F7264202D20BAA3B8AEB0ECB9E62D323032312D38A3A8D2D4B4CBBCFECEAAD7BCA3A92E646F63&gt;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PScript5.dll Version 5.2.2</vt:lpwstr>
  </property>
  <property fmtid="{D5CDD505-2E9C-101B-9397-08002B2CF9AE}" pid="4" name="LastSaved">
    <vt:filetime>2021-11-23T00:00:00Z</vt:filetime>
  </property>
  <property fmtid="{D5CDD505-2E9C-101B-9397-08002B2CF9AE}" pid="5" name="KSOProductBuildVer">
    <vt:lpwstr>2052-11.1.0.12980</vt:lpwstr>
  </property>
  <property fmtid="{D5CDD505-2E9C-101B-9397-08002B2CF9AE}" pid="6" name="ICV">
    <vt:lpwstr>02389C3E24B8464BA75E5F7A994DF90B</vt:lpwstr>
  </property>
</Properties>
</file>