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</w:t>
      </w:r>
    </w:p>
    <w:p>
      <w:pPr>
        <w:spacing w:line="360" w:lineRule="exact"/>
        <w:ind w:right="-52"/>
        <w:jc w:val="center"/>
        <w:outlineLvl w:val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报价一览表</w:t>
      </w:r>
    </w:p>
    <w:p>
      <w:pPr>
        <w:spacing w:line="360" w:lineRule="exact"/>
        <w:outlineLvl w:val="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项目名称：</w:t>
      </w:r>
      <w:r>
        <w:rPr>
          <w:rFonts w:hint="eastAsia" w:ascii="宋体" w:hAnsi="宋体" w:cs="宋体"/>
          <w:sz w:val="24"/>
        </w:rPr>
        <w:t>海口市发展和改革委员会门户网站2021年信息安全等级保护测评服务</w:t>
      </w:r>
    </w:p>
    <w:p>
      <w:pPr>
        <w:spacing w:line="360" w:lineRule="exact"/>
        <w:outlineLvl w:val="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交货时间：合同签订后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天内</w:t>
      </w:r>
    </w:p>
    <w:p>
      <w:pPr>
        <w:spacing w:line="36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 xml:space="preserve">报价人名称：（填写报价机构名称）（盖章） </w:t>
      </w:r>
      <w:r>
        <w:rPr>
          <w:rFonts w:ascii="宋体" w:hAnsi="宋体"/>
          <w:sz w:val="24"/>
        </w:rPr>
        <w:t xml:space="preserve">                       </w:t>
      </w:r>
      <w:r>
        <w:rPr>
          <w:rFonts w:ascii="宋体"/>
          <w:sz w:val="24"/>
        </w:rPr>
        <w:t xml:space="preserve">  </w:t>
      </w:r>
    </w:p>
    <w:p>
      <w:pPr>
        <w:spacing w:line="360" w:lineRule="exact"/>
        <w:ind w:firstLine="8400" w:firstLineChars="35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单位：元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827"/>
        <w:gridCol w:w="882"/>
        <w:gridCol w:w="1309"/>
        <w:gridCol w:w="1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38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信息系统/服务项目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级别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重要程度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5386" w:type="dxa"/>
            <w:gridSpan w:val="2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海口市发展和改革委员会门户网站 </w:t>
            </w:r>
            <w:r>
              <w:rPr>
                <w:rFonts w:hint="eastAsia" w:ascii="宋体" w:hAnsi="宋体" w:cs="Arial"/>
                <w:sz w:val="24"/>
              </w:rPr>
              <w:t xml:space="preserve"> 测评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二级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重要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整改指导</w:t>
            </w:r>
          </w:p>
        </w:tc>
        <w:tc>
          <w:tcPr>
            <w:tcW w:w="6018" w:type="dxa"/>
            <w:gridSpan w:val="3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测评结束后，按照国家有关规定和标准规范要求，坚持管理和技术并重的原则，向用户进行报告解读，并将技术措施和管理措施有机结合，建立信息系统综合防护体系，提供整改方案，指导用户进行整改，以达到提高信息系统整体安全保护能力。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渗透测试</w:t>
            </w:r>
            <w:r>
              <w:rPr>
                <w:rFonts w:hint="eastAsia" w:ascii="宋体" w:hAnsi="宋体" w:cs="宋体"/>
                <w:sz w:val="24"/>
              </w:rPr>
              <w:t>服务</w:t>
            </w:r>
          </w:p>
        </w:tc>
        <w:tc>
          <w:tcPr>
            <w:tcW w:w="6018" w:type="dxa"/>
            <w:gridSpan w:val="3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对海口市发展和改革委员会门户网站进行安全扫描，获取被评估系统的详细漏洞信息；对获取到的数据进行专家分析，根据漏洞具体信息和客户实际情况提供可执行的建议解决方案；同时，通过模拟黑客入侵的方法，利用多种先进技术和手段对用户应用系统进行安全检查，发现和找出网站中存在的编码问题和逻辑问题，提供渗透测试报告并提出整改建议。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测评实施过程及结果输出</w:t>
            </w:r>
          </w:p>
        </w:tc>
        <w:tc>
          <w:tcPr>
            <w:tcW w:w="73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  <w:u w:val="single"/>
              </w:rPr>
              <w:t>实施过程</w:t>
            </w:r>
            <w:r>
              <w:rPr>
                <w:rFonts w:hint="eastAsia" w:ascii="宋体" w:hAnsi="宋体" w:cs="Arial"/>
                <w:sz w:val="24"/>
              </w:rPr>
              <w:t>：实施过程：依据《网络安全技术信息系统安全等级保护基本要求GB/T22239-2019》和《网络安全技术信息系统安全等级保护实施指南GB/T28448-2019》等相关文件及标准要求，从安全物理环境、安全通信网络、安全区域边界、安全计算环境、安全管理中心、安全管理制度、安全管理机构、安全管理人员、安全建设管理、安全运维管理等十个方面，按照网络安全保护等级的基本要求进行测评。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 w:cs="Arial"/>
                <w:b/>
                <w:sz w:val="24"/>
                <w:u w:val="single"/>
              </w:rPr>
            </w:pPr>
            <w:r>
              <w:rPr>
                <w:rFonts w:hint="eastAsia" w:ascii="宋体" w:hAnsi="宋体" w:cs="Arial"/>
                <w:b/>
                <w:sz w:val="24"/>
                <w:u w:val="single"/>
              </w:rPr>
              <w:t>结果输出</w:t>
            </w:r>
            <w:r>
              <w:rPr>
                <w:rFonts w:hint="eastAsia" w:ascii="宋体" w:hAnsi="宋体" w:cs="Arial"/>
                <w:sz w:val="24"/>
              </w:rPr>
              <w:t>：《信息系统安全等级保护测评报告》及提出具有针对性的整改方案。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>
      <w:pPr>
        <w:spacing w:line="360" w:lineRule="exact"/>
        <w:ind w:right="960"/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</w:t>
      </w:r>
      <w:r>
        <w:rPr>
          <w:rFonts w:ascii="宋体"/>
          <w:sz w:val="24"/>
        </w:rPr>
        <w:t xml:space="preserve">                                                  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/>
          <w:sz w:val="24"/>
        </w:rPr>
      </w:pPr>
      <w:r>
        <w:rPr>
          <w:rFonts w:hint="eastAsia" w:ascii="宋体" w:hAnsi="宋体"/>
          <w:bCs/>
          <w:sz w:val="24"/>
        </w:rPr>
        <w:t>总价</w:t>
      </w:r>
      <w:r>
        <w:rPr>
          <w:rFonts w:hint="eastAsia" w:ascii="宋体" w:hAnsi="宋体"/>
          <w:sz w:val="24"/>
        </w:rPr>
        <w:t>合计：</w:t>
      </w:r>
      <w:r>
        <w:rPr>
          <w:rFonts w:ascii="宋体" w:hAnsi="宋体"/>
          <w:sz w:val="24"/>
          <w:u w:val="single"/>
        </w:rPr>
        <w:t xml:space="preserve">                      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bCs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/>
          <w:sz w:val="24"/>
        </w:rPr>
      </w:pPr>
      <w:r>
        <w:rPr>
          <w:rFonts w:hint="eastAsia" w:ascii="宋体" w:hAnsi="宋体"/>
          <w:bCs/>
          <w:sz w:val="24"/>
        </w:rPr>
        <w:t>总价</w:t>
      </w:r>
      <w:r>
        <w:rPr>
          <w:rFonts w:hint="eastAsia" w:ascii="宋体" w:hAnsi="宋体"/>
          <w:sz w:val="24"/>
        </w:rPr>
        <w:t>大写：</w:t>
      </w:r>
      <w:r>
        <w:rPr>
          <w:rFonts w:ascii="宋体" w:hAnsi="宋体"/>
          <w:sz w:val="24"/>
          <w:u w:val="single"/>
        </w:rPr>
        <w:t xml:space="preserve">                      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报价人代表签名：</w:t>
      </w:r>
      <w:r>
        <w:rPr>
          <w:rFonts w:ascii="宋体" w:hAnsi="宋体"/>
          <w:sz w:val="24"/>
        </w:rPr>
        <w:t xml:space="preserve">             </w:t>
      </w:r>
      <w:r>
        <w:rPr>
          <w:rFonts w:hint="eastAsia" w:ascii="宋体" w:hAnsi="宋体"/>
          <w:sz w:val="24"/>
        </w:rPr>
        <w:t>职务：</w:t>
      </w:r>
      <w:r>
        <w:rPr>
          <w:rFonts w:ascii="宋体" w:hAnsi="宋体"/>
          <w:sz w:val="24"/>
        </w:rPr>
        <w:t xml:space="preserve">            </w:t>
      </w:r>
      <w:r>
        <w:rPr>
          <w:rFonts w:hint="eastAsia" w:ascii="宋体" w:hAnsi="宋体"/>
          <w:sz w:val="24"/>
        </w:rPr>
        <w:t>日期：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outlineLvl w:val="0"/>
        <w:rPr>
          <w:rFonts w:ascii="宋体" w:hAnsi="宋体"/>
          <w:b/>
          <w:sz w:val="24"/>
        </w:rPr>
      </w:pPr>
    </w:p>
    <w:p>
      <w:r>
        <w:rPr>
          <w:rFonts w:hint="eastAsia" w:ascii="宋体" w:hAnsi="宋体"/>
          <w:b/>
          <w:sz w:val="24"/>
        </w:rPr>
        <w:t>注：</w:t>
      </w: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、所有报价用人民币元报价。</w:t>
      </w: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、大写金额与小写金额不一致的，以大写金额为准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日月当空</cp:lastModifiedBy>
  <dcterms:modified xsi:type="dcterms:W3CDTF">2021-12-13T08:23:53Z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7E07DC8B24E04F1BA938D4247A06295D</vt:lpwstr>
  </property>
</Properties>
</file>