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2022年海口市粮油产品质量监测站预算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黑体"/>
          <w:kern w:val="0"/>
          <w:sz w:val="32"/>
          <w:szCs w:val="32"/>
          <w:lang w:val="en-US" w:eastAsia="zh-CN" w:bidi="ar-SA"/>
        </w:rPr>
        <w:t xml:space="preserve"> 海口市粮油产品质量监测站概</w:t>
      </w:r>
      <w:r>
        <w:rPr>
          <w:rFonts w:hint="eastAsia" w:ascii="黑体" w:hAnsi="黑体" w:eastAsia="黑体"/>
          <w:sz w:val="32"/>
          <w:szCs w:val="32"/>
        </w:rPr>
        <w:t>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numPr>
          <w:ilvl w:val="0"/>
          <w:numId w:val="2"/>
        </w:numPr>
        <w:ind w:left="720" w:leftChars="0" w:hanging="720" w:firstLineChars="0"/>
        <w:rPr>
          <w:rFonts w:hint="eastAsia" w:ascii="黑体" w:hAnsi="黑体" w:eastAsia="黑体" w:cs="黑体"/>
          <w:sz w:val="32"/>
          <w:szCs w:val="32"/>
        </w:rPr>
      </w:pPr>
      <w:bookmarkStart w:id="0" w:name="_Toc17796_WPSOffice_Level2"/>
      <w:bookmarkStart w:id="1" w:name="_Toc24474_WPSOffice_Level2"/>
      <w:bookmarkStart w:id="2" w:name="_Toc6572_WPSOffice_Level2"/>
      <w:bookmarkStart w:id="3" w:name="_Toc24059_WPSOffice_Level2"/>
      <w:bookmarkStart w:id="4" w:name="_Toc4833_WPSOffice_Level2"/>
      <w:r>
        <w:rPr>
          <w:rFonts w:hint="eastAsia" w:ascii="黑体" w:hAnsi="黑体" w:eastAsia="黑体" w:cs="黑体"/>
          <w:sz w:val="32"/>
          <w:szCs w:val="32"/>
        </w:rPr>
        <w:t>机构设置</w:t>
      </w:r>
      <w:bookmarkEnd w:id="0"/>
      <w:bookmarkEnd w:id="1"/>
      <w:bookmarkEnd w:id="2"/>
      <w:bookmarkEnd w:id="3"/>
      <w:bookmarkEnd w:id="4"/>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kern w:val="0"/>
          <w:sz w:val="32"/>
          <w:szCs w:val="32"/>
          <w:lang w:val="en-US" w:eastAsia="zh-CN" w:bidi="ar-SA"/>
        </w:rPr>
        <w:t>海口市粮油产品质量监测站2022年预</w:t>
      </w:r>
      <w:r>
        <w:rPr>
          <w:rFonts w:hint="eastAsia" w:ascii="黑体" w:hAnsi="黑体" w:eastAsia="黑体"/>
          <w:sz w:val="32"/>
          <w:szCs w:val="32"/>
        </w:rPr>
        <w:t>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黑体"/>
          <w:kern w:val="0"/>
          <w:sz w:val="32"/>
          <w:szCs w:val="32"/>
          <w:lang w:val="en-US" w:eastAsia="zh-CN" w:bidi="ar-SA"/>
        </w:rPr>
        <w:t xml:space="preserve"> 海口市粮油产品质量监测站2022年部</w:t>
      </w:r>
      <w:r>
        <w:rPr>
          <w:rFonts w:hint="eastAsia" w:ascii="黑体" w:hAnsi="黑体" w:eastAsia="黑体"/>
          <w:sz w:val="32"/>
          <w:szCs w:val="32"/>
        </w:rPr>
        <w:t>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海口市粮油产品质量监测站概况</w:t>
      </w:r>
    </w:p>
    <w:p>
      <w:pPr>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widowControl w:val="0"/>
        <w:numPr>
          <w:ilvl w:val="0"/>
          <w:numId w:val="6"/>
        </w:numPr>
        <w:adjustRightInd/>
        <w:snapToGrid/>
        <w:spacing w:after="0"/>
        <w:jc w:val="both"/>
        <w:rPr>
          <w:rFonts w:ascii="楷体" w:hAnsi="楷体" w:eastAsia="楷体"/>
          <w:sz w:val="32"/>
          <w:szCs w:val="32"/>
        </w:rPr>
      </w:pPr>
      <w:r>
        <w:rPr>
          <w:rFonts w:hint="eastAsia" w:ascii="楷体" w:hAnsi="楷体" w:eastAsia="楷体"/>
          <w:sz w:val="32"/>
          <w:szCs w:val="32"/>
        </w:rPr>
        <w:t>贯彻执行有关粮食质量、卫生、计量、标准化等法律法规，对各流通环节的粮油实施检验管理；</w:t>
      </w:r>
    </w:p>
    <w:p>
      <w:pPr>
        <w:widowControl w:val="0"/>
        <w:numPr>
          <w:ilvl w:val="0"/>
          <w:numId w:val="6"/>
        </w:numPr>
        <w:adjustRightInd/>
        <w:snapToGrid/>
        <w:spacing w:after="0"/>
        <w:jc w:val="both"/>
        <w:rPr>
          <w:rFonts w:ascii="楷体" w:hAnsi="楷体" w:eastAsia="楷体"/>
          <w:sz w:val="32"/>
          <w:szCs w:val="32"/>
        </w:rPr>
      </w:pPr>
      <w:r>
        <w:rPr>
          <w:rFonts w:hint="eastAsia" w:ascii="楷体" w:hAnsi="楷体" w:eastAsia="楷体"/>
          <w:sz w:val="32"/>
          <w:szCs w:val="32"/>
        </w:rPr>
        <w:t>负责专项储备粮和市场粮油质量的检验工作，定期进行质量监测；</w:t>
      </w:r>
    </w:p>
    <w:p>
      <w:pPr>
        <w:widowControl w:val="0"/>
        <w:numPr>
          <w:ilvl w:val="0"/>
          <w:numId w:val="6"/>
        </w:numPr>
        <w:adjustRightInd/>
        <w:snapToGrid/>
        <w:spacing w:after="0"/>
        <w:jc w:val="both"/>
        <w:rPr>
          <w:rFonts w:ascii="楷体" w:hAnsi="楷体" w:eastAsia="楷体"/>
          <w:sz w:val="32"/>
          <w:szCs w:val="32"/>
        </w:rPr>
      </w:pPr>
      <w:r>
        <w:rPr>
          <w:rFonts w:hint="eastAsia" w:ascii="楷体" w:hAnsi="楷体" w:eastAsia="楷体"/>
          <w:sz w:val="32"/>
          <w:szCs w:val="32"/>
        </w:rPr>
        <w:t>配合有关部门做好本市粮油标准化工作，做好粮油名优产品、新产品质量、等级的评审检测工作；</w:t>
      </w:r>
    </w:p>
    <w:p>
      <w:pPr>
        <w:widowControl w:val="0"/>
        <w:numPr>
          <w:ilvl w:val="0"/>
          <w:numId w:val="6"/>
        </w:numPr>
        <w:adjustRightInd/>
        <w:snapToGrid/>
        <w:spacing w:after="0"/>
        <w:jc w:val="both"/>
        <w:rPr>
          <w:rFonts w:ascii="楷体" w:hAnsi="楷体" w:eastAsia="楷体"/>
          <w:sz w:val="32"/>
          <w:szCs w:val="32"/>
        </w:rPr>
      </w:pPr>
      <w:r>
        <w:rPr>
          <w:rFonts w:hint="eastAsia" w:ascii="楷体" w:hAnsi="楷体" w:eastAsia="楷体"/>
          <w:sz w:val="32"/>
          <w:szCs w:val="32"/>
        </w:rPr>
        <w:t>对本市粮油品种品质和受有害物质污染的情况进行调查分析，做好储备粮及市场粮油防治虫害工作；</w:t>
      </w:r>
    </w:p>
    <w:p>
      <w:pPr>
        <w:widowControl w:val="0"/>
        <w:numPr>
          <w:ilvl w:val="0"/>
          <w:numId w:val="6"/>
        </w:numPr>
        <w:adjustRightInd/>
        <w:snapToGrid/>
        <w:spacing w:after="0"/>
        <w:jc w:val="both"/>
        <w:rPr>
          <w:rFonts w:ascii="楷体" w:hAnsi="楷体" w:eastAsia="楷体"/>
          <w:sz w:val="32"/>
          <w:szCs w:val="32"/>
        </w:rPr>
      </w:pPr>
      <w:r>
        <w:rPr>
          <w:rFonts w:hint="eastAsia" w:ascii="楷体" w:hAnsi="楷体" w:eastAsia="楷体"/>
          <w:sz w:val="32"/>
          <w:szCs w:val="32"/>
        </w:rPr>
        <w:t>完成上级主管部门交办的其他工作。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二、机构设置</w:t>
      </w:r>
    </w:p>
    <w:p>
      <w:pPr>
        <w:widowControl w:val="0"/>
        <w:numPr>
          <w:ilvl w:val="0"/>
          <w:numId w:val="0"/>
        </w:numPr>
        <w:adjustRightInd/>
        <w:snapToGrid/>
        <w:spacing w:after="0"/>
        <w:ind w:left="640" w:leftChars="0"/>
        <w:jc w:val="both"/>
        <w:rPr>
          <w:rFonts w:hint="eastAsia" w:ascii="楷体" w:hAnsi="楷体" w:eastAsia="楷体"/>
          <w:sz w:val="32"/>
          <w:szCs w:val="32"/>
        </w:rPr>
      </w:pPr>
      <w:r>
        <w:rPr>
          <w:rFonts w:hint="eastAsia" w:ascii="楷体" w:hAnsi="楷体" w:eastAsia="楷体"/>
          <w:sz w:val="32"/>
          <w:szCs w:val="32"/>
        </w:rPr>
        <w:t>我站内设三个部门：办公室、检验部、监测部。</w:t>
      </w:r>
    </w:p>
    <w:p>
      <w:pPr>
        <w:pStyle w:val="2"/>
      </w:pPr>
    </w:p>
    <w:p>
      <w:pPr>
        <w:ind w:firstLine="640" w:firstLineChars="200"/>
        <w:rPr>
          <w:rFonts w:ascii="黑体" w:hAnsi="黑体" w:eastAsia="黑体" w:cs="黑体"/>
          <w:sz w:val="32"/>
          <w:szCs w:val="32"/>
        </w:rPr>
      </w:pPr>
      <w:r>
        <w:rPr>
          <w:rFonts w:hint="eastAsia" w:ascii="黑体" w:hAnsi="黑体" w:eastAsia="黑体"/>
          <w:sz w:val="32"/>
          <w:szCs w:val="32"/>
        </w:rPr>
        <w:t>第二部分海口市粮油产品质量监测站2022年部门（单位）预算表</w:t>
      </w:r>
    </w:p>
    <w:p>
      <w:pPr>
        <w:ind w:left="800"/>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海口市粮油产品质量监测站2022年预算情况说明</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一、关于海口市粮油产品质量监测站2022年财政拨款收支预算情况的总体说明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322.24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322.24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322.24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rPr>
          <w:rFonts w:ascii="黑体" w:hAnsi="黑体" w:eastAsia="黑体"/>
          <w:sz w:val="32"/>
          <w:szCs w:val="32"/>
        </w:rPr>
      </w:pPr>
      <w:r>
        <w:rPr>
          <w:rFonts w:hint="eastAsia" w:ascii="黑体" w:hAnsi="黑体" w:eastAsia="黑体"/>
          <w:sz w:val="32"/>
          <w:szCs w:val="32"/>
        </w:rPr>
        <w:t>二、关于海口市粮油产品质量监测站2022年一般公共预算当年拨款情况说明</w:t>
      </w:r>
    </w:p>
    <w:p>
      <w:pPr>
        <w:ind w:firstLine="640"/>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322.24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减少18.19</w:t>
      </w:r>
      <w:r>
        <w:rPr>
          <w:rFonts w:hint="eastAsia" w:ascii="仿宋_GB2312" w:hAnsi="黑体" w:eastAsia="仿宋_GB2312"/>
          <w:sz w:val="32"/>
          <w:szCs w:val="32"/>
        </w:rPr>
        <w:t>万元，主要是单位人员退休，人员经费减少。</w:t>
      </w:r>
    </w:p>
    <w:p>
      <w:pPr>
        <w:ind w:firstLine="64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一般公共服务（类）支出322.24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rPr>
          <w:rFonts w:ascii="楷体" w:hAnsi="楷体" w:eastAsia="楷体"/>
          <w:color w:val="000000" w:themeColor="text1"/>
          <w:sz w:val="32"/>
          <w:szCs w:val="32"/>
          <w:highlight w:val="none"/>
        </w:rPr>
      </w:pPr>
      <w:r>
        <w:rPr>
          <w:rFonts w:hint="eastAsia" w:ascii="楷体" w:hAnsi="楷体" w:eastAsia="楷体"/>
          <w:color w:val="000000" w:themeColor="text1"/>
          <w:sz w:val="32"/>
          <w:szCs w:val="32"/>
          <w:highlight w:val="none"/>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1.社会保障和就业支出</w:t>
      </w:r>
      <w:r>
        <w:rPr>
          <w:rFonts w:hint="eastAsia" w:ascii="仿宋_GB2312" w:hAnsi="黑体" w:eastAsia="仿宋_GB2312" w:cs="仿宋_GB2312"/>
          <w:sz w:val="32"/>
          <w:szCs w:val="32"/>
        </w:rPr>
        <w:t>（类）行政事业单位</w:t>
      </w:r>
      <w:bookmarkStart w:id="5" w:name="_GoBack"/>
      <w:bookmarkEnd w:id="5"/>
      <w:r>
        <w:rPr>
          <w:rFonts w:hint="eastAsia" w:ascii="仿宋_GB2312" w:hAnsi="黑体" w:eastAsia="仿宋_GB2312" w:cs="仿宋_GB2312"/>
          <w:sz w:val="32"/>
          <w:szCs w:val="32"/>
        </w:rPr>
        <w:t>养老支出（款）机关事业单位基本养老保险缴费支出（项）202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年预算数为20.12万元，比上年预算数</w:t>
      </w:r>
      <w:r>
        <w:rPr>
          <w:rFonts w:hint="eastAsia" w:ascii="仿宋_GB2312" w:hAnsi="黑体" w:eastAsia="仿宋_GB2312"/>
          <w:sz w:val="32"/>
          <w:szCs w:val="32"/>
          <w:lang w:val="en-US" w:eastAsia="zh-CN"/>
        </w:rPr>
        <w:t>16.55</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rPr>
        <w:t>了3.</w:t>
      </w:r>
      <w:r>
        <w:rPr>
          <w:rFonts w:hint="eastAsia" w:ascii="仿宋_GB2312" w:hAnsi="黑体" w:eastAsia="仿宋_GB2312"/>
          <w:sz w:val="32"/>
          <w:szCs w:val="32"/>
          <w:lang w:val="en-US" w:eastAsia="zh-CN"/>
        </w:rPr>
        <w:t>57</w:t>
      </w:r>
      <w:r>
        <w:rPr>
          <w:rFonts w:hint="eastAsia" w:ascii="仿宋_GB2312" w:hAnsi="黑体" w:eastAsia="仿宋_GB2312"/>
          <w:sz w:val="32"/>
          <w:szCs w:val="32"/>
        </w:rPr>
        <w:t>万元,</w:t>
      </w:r>
      <w:r>
        <w:rPr>
          <w:rFonts w:hint="eastAsia" w:ascii="仿宋_GB2312" w:hAnsi="黑体" w:eastAsia="仿宋_GB2312"/>
          <w:sz w:val="32"/>
          <w:szCs w:val="32"/>
          <w:lang w:eastAsia="zh-CN"/>
        </w:rPr>
        <w:t xml:space="preserve"> 在职人员变动造成的预算数增加。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（类）行政事业单位养老支出（款）其他行政事业单位养老支出（项）202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年预算数为7.00万元，比上年预算数</w:t>
      </w:r>
      <w:r>
        <w:rPr>
          <w:rFonts w:hint="eastAsia" w:ascii="仿宋_GB2312" w:hAnsi="黑体" w:eastAsia="仿宋_GB2312"/>
          <w:sz w:val="32"/>
          <w:szCs w:val="32"/>
          <w:lang w:val="en-US" w:eastAsia="zh-CN"/>
        </w:rPr>
        <w:t>6.00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rPr>
        <w:t>了</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 主要是</w:t>
      </w:r>
      <w:r>
        <w:rPr>
          <w:rFonts w:hint="eastAsia" w:ascii="仿宋_GB2312" w:hAnsi="黑体" w:eastAsia="仿宋_GB2312"/>
          <w:sz w:val="32"/>
          <w:szCs w:val="32"/>
          <w:lang w:eastAsia="zh-CN"/>
        </w:rPr>
        <w:t>退休人员的增加导致的预算数增加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sz w:val="32"/>
          <w:szCs w:val="32"/>
        </w:rPr>
        <w:t>行政事业单位医疗</w:t>
      </w:r>
      <w:r>
        <w:rPr>
          <w:rFonts w:hint="eastAsia" w:ascii="仿宋_GB2312" w:hAnsi="黑体" w:eastAsia="仿宋_GB2312" w:cs="仿宋_GB2312"/>
          <w:sz w:val="32"/>
          <w:szCs w:val="32"/>
        </w:rPr>
        <w:t>（款）事业单位医疗（项）202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8.79</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1.90</w:t>
      </w:r>
      <w:r>
        <w:rPr>
          <w:rFonts w:hint="eastAsia" w:ascii="仿宋_GB2312" w:hAnsi="黑体" w:eastAsia="仿宋_GB2312"/>
          <w:sz w:val="32"/>
          <w:szCs w:val="32"/>
        </w:rPr>
        <w:t>万元,</w:t>
      </w:r>
      <w:r>
        <w:rPr>
          <w:rFonts w:hint="eastAsia" w:ascii="仿宋_GB2312" w:hAnsi="黑体" w:eastAsia="仿宋_GB2312"/>
          <w:sz w:val="32"/>
          <w:szCs w:val="32"/>
          <w:lang w:eastAsia="zh-CN"/>
        </w:rPr>
        <w:t xml:space="preserve"> 主要是在职人员变动造成的预算数增加</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sz w:val="32"/>
          <w:szCs w:val="32"/>
        </w:rPr>
        <w:t>行政事业单位医疗</w:t>
      </w:r>
      <w:r>
        <w:rPr>
          <w:rFonts w:hint="eastAsia" w:ascii="仿宋_GB2312" w:hAnsi="黑体" w:eastAsia="仿宋_GB2312" w:cs="仿宋_GB2312"/>
          <w:sz w:val="32"/>
          <w:szCs w:val="32"/>
        </w:rPr>
        <w:t>（款）其他行政事业单位医疗支出（项）202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9.21</w:t>
      </w:r>
      <w:r>
        <w:rPr>
          <w:rFonts w:hint="eastAsia" w:ascii="仿宋_GB2312" w:hAnsi="黑体" w:eastAsia="仿宋_GB2312"/>
          <w:sz w:val="32"/>
          <w:szCs w:val="32"/>
        </w:rPr>
        <w:t>万元，与上年预算数10.</w:t>
      </w:r>
      <w:r>
        <w:rPr>
          <w:rFonts w:hint="eastAsia" w:ascii="仿宋_GB2312" w:hAnsi="黑体" w:eastAsia="仿宋_GB2312"/>
          <w:sz w:val="32"/>
          <w:szCs w:val="32"/>
          <w:lang w:val="en-US" w:eastAsia="zh-CN"/>
        </w:rPr>
        <w:t>82</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rPr>
        <w:t>了</w:t>
      </w:r>
      <w:r>
        <w:rPr>
          <w:rFonts w:hint="eastAsia" w:ascii="仿宋_GB2312" w:hAnsi="黑体" w:eastAsia="仿宋_GB2312"/>
          <w:sz w:val="32"/>
          <w:szCs w:val="32"/>
          <w:lang w:val="en-US" w:eastAsia="zh-CN"/>
        </w:rPr>
        <w:t>1.61</w:t>
      </w:r>
      <w:r>
        <w:rPr>
          <w:rFonts w:hint="eastAsia" w:ascii="仿宋_GB2312" w:hAnsi="黑体" w:eastAsia="仿宋_GB2312"/>
          <w:sz w:val="32"/>
          <w:szCs w:val="32"/>
        </w:rPr>
        <w:t>万元，</w:t>
      </w:r>
      <w:r>
        <w:rPr>
          <w:rFonts w:hint="eastAsia" w:ascii="仿宋_GB2312" w:hAnsi="黑体" w:eastAsia="仿宋_GB2312"/>
          <w:sz w:val="32"/>
          <w:szCs w:val="32"/>
          <w:lang w:eastAsia="zh-CN"/>
        </w:rPr>
        <w:t>在职人员变动造成的预算数</w:t>
      </w:r>
      <w:r>
        <w:rPr>
          <w:rFonts w:hint="eastAsia" w:ascii="仿宋_GB2312" w:hAnsi="黑体" w:eastAsia="仿宋_GB2312" w:cs="仿宋_GB2312"/>
          <w:sz w:val="32"/>
          <w:szCs w:val="32"/>
          <w:lang w:eastAsia="zh-CN"/>
        </w:rPr>
        <w:t>减少。</w:t>
      </w:r>
    </w:p>
    <w:p>
      <w:pPr>
        <w:ind w:firstLine="640" w:firstLineChars="200"/>
        <w:rPr>
          <w:rFonts w:ascii="仿宋_GB2312" w:hAnsi="黑体" w:eastAsia="仿宋_GB2312"/>
          <w:sz w:val="32"/>
          <w:szCs w:val="32"/>
          <w:highlight w:val="yellow"/>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年预算数9.6</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11.59</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公积金基数上调导致的预算数增加</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yellow"/>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.粮油物资储备支出（类）粮油物资事务（款）其他粮油物资事务支出（项）202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年预算数为265.57万元，比上年预算数2</w:t>
      </w:r>
      <w:r>
        <w:rPr>
          <w:rFonts w:hint="eastAsia" w:ascii="仿宋_GB2312" w:hAnsi="黑体" w:eastAsia="仿宋_GB2312"/>
          <w:sz w:val="32"/>
          <w:szCs w:val="32"/>
          <w:lang w:val="en-US" w:eastAsia="zh-CN"/>
        </w:rPr>
        <w:t>86.68</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21.11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在职人员变动导致的预算数减少</w:t>
      </w:r>
      <w:r>
        <w:rPr>
          <w:rFonts w:hint="eastAsia" w:ascii="仿宋_GB2312" w:hAnsi="黑体" w:eastAsia="仿宋_GB2312"/>
          <w:sz w:val="32"/>
          <w:szCs w:val="32"/>
          <w:highlight w:val="none"/>
        </w:rPr>
        <w:t>。</w:t>
      </w:r>
    </w:p>
    <w:p>
      <w:pPr>
        <w:ind w:firstLine="640"/>
        <w:rPr>
          <w:rFonts w:ascii="黑体" w:hAnsi="黑体" w:eastAsia="黑体"/>
          <w:sz w:val="32"/>
          <w:szCs w:val="32"/>
        </w:rPr>
      </w:pPr>
      <w:r>
        <w:rPr>
          <w:rFonts w:hint="eastAsia" w:ascii="黑体" w:hAnsi="黑体" w:eastAsia="黑体"/>
          <w:sz w:val="32"/>
          <w:szCs w:val="32"/>
        </w:rPr>
        <w:t>三、关于海口市粮油产品质量监测站2022年一般公共预算基本支出情况说明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194.04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168.59</w:t>
      </w:r>
      <w:r>
        <w:rPr>
          <w:rFonts w:hint="eastAsia" w:ascii="仿宋_GB2312" w:hAnsi="黑体" w:eastAsia="仿宋_GB2312"/>
          <w:sz w:val="32"/>
          <w:szCs w:val="32"/>
        </w:rPr>
        <w:t>万元，主要包括：工资福利支出、基本工资、津贴补贴、奖金、绩效工资、机关事业单位基本养老保险缴费、职工基本医疗保险缴费、公务员医疗补助缴费、其他社会保障缴费、住房公积金、医疗费、邮电费、对个人和家庭的补助、医疗费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25.45</w:t>
      </w:r>
      <w:r>
        <w:rPr>
          <w:rFonts w:hint="eastAsia" w:ascii="仿宋_GB2312" w:hAnsi="黑体" w:eastAsia="仿宋_GB2312"/>
          <w:sz w:val="32"/>
          <w:szCs w:val="32"/>
        </w:rPr>
        <w:t>万元，主要包括：其他工资福利支出、其他社会保障缴费、办公费、印刷费、咨询费、手续费、水费、电费、邮电费、物业管理费、差旅费、维修(护)费、培训费、专用材料费、委托业务费、工会经费、公务用车运行维护费、其他商品和服务支出、对个人和家庭的补助、救济费、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海口市粮油产品质量监测站2022</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7.40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2022年无此项预算安排。</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2022年因公出国（境）经费预算</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hint="eastAsia" w:ascii="仿宋_GB2312" w:hAnsi="黑体" w:eastAsia="仿宋_GB2312" w:cs="仿宋_GB2312"/>
          <w:sz w:val="32"/>
          <w:szCs w:val="32"/>
        </w:rPr>
        <w:t>7</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hint="eastAsia" w:ascii="仿宋_GB2312" w:hAnsi="黑体" w:eastAsia="仿宋_GB2312" w:cs="仿宋_GB2312"/>
          <w:sz w:val="32"/>
          <w:szCs w:val="32"/>
        </w:rPr>
        <w:t>0.4</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Times New Roman" w:hAnsi="Times New Roman" w:eastAsia="仿宋_GB2312" w:cs="Times New Roman"/>
          <w:sz w:val="32"/>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2022年无此项预算安排。</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2022年政府性基金预算“三公”经费预算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2.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rPr>
        <w:t>0辆，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2022年政府性基金预算“三公”经费预算</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rPr>
        <w:t>没有安排</w:t>
      </w:r>
      <w:r>
        <w:rPr>
          <w:rFonts w:hint="eastAsia" w:ascii="仿宋_GB2312" w:hAnsi="黑体" w:eastAsia="仿宋_GB2312"/>
          <w:sz w:val="32"/>
          <w:szCs w:val="32"/>
        </w:rPr>
        <w:t>2022年政府性基金预算“三公”经费预算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rPr>
        <w:t>0批，0人。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海口市粮油产品质量监测站2022</w:t>
      </w:r>
      <w:r>
        <w:rPr>
          <w:rFonts w:hint="eastAsia" w:ascii="黑体" w:hAnsi="黑体" w:eastAsia="黑体" w:cs="Times New Roman"/>
          <w:sz w:val="32"/>
          <w:shd w:val="clear" w:color="auto" w:fill="FFFFFF"/>
        </w:rPr>
        <w:t>年政府性基金预算当年拨款情况说明</w:t>
      </w:r>
    </w:p>
    <w:p>
      <w:pPr>
        <w:ind w:firstLine="640"/>
        <w:rPr>
          <w:rFonts w:ascii="楷体" w:hAnsi="楷体" w:eastAsia="楷体" w:cs="黑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，主要是无此项预算安排。</w:t>
      </w:r>
    </w:p>
    <w:p>
      <w:pPr>
        <w:ind w:firstLine="640"/>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，主要是无此项预算安排。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。主要是无此项预算安排。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海口市粮油产品质量监测站2022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cs="黑体"/>
          <w:sz w:val="32"/>
          <w:szCs w:val="32"/>
        </w:rPr>
      </w:pPr>
      <w:r>
        <w:rPr>
          <w:rFonts w:hint="eastAsia" w:ascii="仿宋_GB2312" w:hAnsi="黑体" w:eastAsia="仿宋_GB2312" w:cs="仿宋_GB2312"/>
          <w:sz w:val="32"/>
          <w:szCs w:val="32"/>
        </w:rPr>
        <w:t>按照综合预算原则，海口市粮油产品质量监测站2022所有收入和支出均纳入部门预算管理。收入包括：一般公共预算收入、政府性基金收入、其他财政资金收入、事业收入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322.24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海口市粮油产品质量监测站2022</w:t>
      </w:r>
      <w:r>
        <w:rPr>
          <w:rFonts w:hint="eastAsia" w:ascii="黑体" w:hAnsi="黑体" w:eastAsia="黑体" w:cs="Times New Roman"/>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322.24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322.24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减少18.19</w:t>
      </w:r>
      <w:r>
        <w:rPr>
          <w:rFonts w:hint="eastAsia" w:ascii="仿宋_GB2312" w:hAnsi="黑体" w:eastAsia="仿宋_GB2312"/>
          <w:sz w:val="32"/>
          <w:szCs w:val="32"/>
        </w:rPr>
        <w:t>万元，主要是单位人员退休，人员经费减少。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海口市粮油产品质量监测站2022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海口市粮油产品质量监测站2022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322.24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194.04</w:t>
      </w:r>
      <w:r>
        <w:rPr>
          <w:rFonts w:hint="eastAsia" w:ascii="仿宋_GB2312" w:hAnsi="黑体" w:eastAsia="仿宋_GB2312"/>
          <w:sz w:val="32"/>
          <w:szCs w:val="32"/>
        </w:rPr>
        <w:t>万元，占</w:t>
      </w:r>
      <w:r>
        <w:rPr>
          <w:rFonts w:hint="eastAsia" w:ascii="仿宋_GB2312" w:hAnsi="黑体" w:eastAsia="仿宋_GB2312" w:cs="仿宋_GB2312"/>
          <w:sz w:val="32"/>
          <w:szCs w:val="32"/>
        </w:rPr>
        <w:t>60.22</w:t>
      </w:r>
      <w:r>
        <w:rPr>
          <w:rFonts w:hint="eastAsia" w:ascii="仿宋_GB2312" w:hAnsi="黑体" w:eastAsia="仿宋_GB2312"/>
          <w:sz w:val="32"/>
          <w:szCs w:val="32"/>
        </w:rPr>
        <w:t>%；项目支出</w:t>
      </w:r>
      <w:r>
        <w:rPr>
          <w:rFonts w:hint="eastAsia" w:ascii="仿宋_GB2312" w:hAnsi="黑体" w:eastAsia="仿宋_GB2312" w:cs="仿宋_GB2312"/>
          <w:sz w:val="32"/>
          <w:szCs w:val="32"/>
        </w:rPr>
        <w:t>128.20</w:t>
      </w:r>
      <w:r>
        <w:rPr>
          <w:rFonts w:hint="eastAsia" w:ascii="仿宋_GB2312" w:hAnsi="黑体" w:eastAsia="仿宋_GB2312"/>
          <w:sz w:val="32"/>
          <w:szCs w:val="32"/>
        </w:rPr>
        <w:t>万元，占</w:t>
      </w:r>
      <w:r>
        <w:rPr>
          <w:rFonts w:hint="eastAsia" w:ascii="仿宋_GB2312" w:hAnsi="黑体" w:eastAsia="仿宋_GB2312" w:cs="仿宋_GB2312"/>
          <w:sz w:val="32"/>
          <w:szCs w:val="32"/>
        </w:rPr>
        <w:t>39.78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减少18.19</w:t>
      </w:r>
      <w:r>
        <w:rPr>
          <w:rFonts w:hint="eastAsia" w:ascii="仿宋_GB2312" w:hAnsi="黑体" w:eastAsia="仿宋_GB2312"/>
          <w:sz w:val="32"/>
          <w:szCs w:val="32"/>
        </w:rPr>
        <w:t>万元，主要是单位人员退休，人员经费减少。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海口市粮油产品质量监测站的机关运行经费预算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海口市粮油产品质量监测站政府采购预算总额0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海口市粮油产品质量监测站共有车辆2辆，其中，其他业务用车2辆。单位价值100万元以上设备3台（套）。</w:t>
      </w:r>
    </w:p>
    <w:p>
      <w:pPr>
        <w:ind w:firstLine="640" w:firstLineChars="200"/>
        <w:rPr>
          <w:rFonts w:ascii="楷体" w:hAnsi="楷体" w:eastAsia="楷体" w:cs="黑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海口市粮油产品质量监测站10个项目实行绩效目标管理，涉及一般公共预算322.24</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rPr>
          <w:rFonts w:ascii="仿宋_GB2312" w:hAnsi="宋体" w:eastAsia="仿宋_GB2312" w:cs="宋体"/>
          <w:color w:val="000000"/>
          <w:sz w:val="32"/>
          <w:szCs w:val="30"/>
        </w:rPr>
      </w:pPr>
    </w:p>
    <w:p>
      <w:pPr>
        <w:jc w:val="center"/>
        <w:rPr>
          <w:rFonts w:ascii="黑体" w:hAnsi="黑体" w:eastAsia="黑体" w:cs="黑体"/>
          <w:b/>
          <w:kern w:val="2"/>
          <w:sz w:val="32"/>
          <w:szCs w:val="32"/>
        </w:rPr>
      </w:pPr>
      <w:r>
        <w:rPr>
          <w:rFonts w:hint="eastAsia" w:ascii="黑体" w:hAnsi="黑体" w:eastAsia="黑体"/>
          <w:b/>
          <w:sz w:val="32"/>
          <w:szCs w:val="32"/>
        </w:rPr>
        <w:t>第四部分  名词解释</w:t>
      </w:r>
    </w:p>
    <w:p>
      <w:pPr>
        <w:ind w:firstLine="640" w:firstLineChars="200"/>
        <w:rPr>
          <w:rFonts w:ascii="仿宋_GB2312" w:hAnsi="Calibri" w:eastAsia="仿宋_GB2312" w:cs="宋体"/>
          <w:bCs/>
          <w:color w:val="000000"/>
          <w:sz w:val="32"/>
          <w:szCs w:val="32"/>
          <w:lang w:val="zh-CN"/>
        </w:rPr>
      </w:pP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一、财政拨款收入：指本级财政当年拨付的资金。</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二、事业收入：指事业单位开展专业业务活动及辅助活动取得的收入。</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三、经营收入：指事业单位在专业业务活动及其辅助活动之外开展非独立核算经营活动取得的收入。</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四、其他收入：指除上述“财政拨款收入”“事业收入”“经营收入”等以外的收入。</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五、年初结转和结余：指以前年度尚未完成、结转到本年按有关规定继续使用的资金。</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 xml:space="preserve">六、基本支出：指行政事业单位用于为保障其机构正常运转、完成日常工作任务而发生的人员支出和公用支出。   </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七、工资福利支出：反映单位开支的在职职工和编制外长期聘用人员的各类劳动报酬，以及为上述人员缴纳的各项社会保险费等。</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十、项目支出：指各部门、各单位为完成其特定的工作任务和事业发展目标所发生的支出。</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ascii="仿宋_GB2312" w:hAnsi="宋体" w:eastAsia="仿宋_GB2312" w:cs="宋体"/>
          <w:color w:val="000000"/>
          <w:sz w:val="32"/>
          <w:szCs w:val="30"/>
        </w:rPr>
      </w:pPr>
      <w:r>
        <w:rPr>
          <w:rFonts w:hint="eastAsia" w:ascii="仿宋_GB2312" w:hAnsi="宋体" w:eastAsia="仿宋_GB2312" w:cs="宋体"/>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宋体" w:eastAsia="仿宋_GB2312" w:cs="宋体"/>
          <w:color w:val="000000"/>
          <w:sz w:val="32"/>
          <w:szCs w:val="30"/>
        </w:rPr>
      </w:pPr>
    </w:p>
    <w:p>
      <w:pPr>
        <w:ind w:firstLine="640" w:firstLineChars="200"/>
        <w:rPr>
          <w:rFonts w:ascii="仿宋_GB2312" w:hAnsi="黑体" w:eastAsia="仿宋_GB2312" w:cs="仿宋_GB2312"/>
          <w:kern w:val="2"/>
          <w:sz w:val="32"/>
          <w:szCs w:val="32"/>
        </w:rPr>
      </w:pPr>
    </w:p>
    <w:p>
      <w:pPr>
        <w:ind w:firstLine="640" w:firstLineChars="200"/>
        <w:rPr>
          <w:rFonts w:ascii="仿宋_GB2312" w:hAnsi="黑体" w:eastAsia="仿宋_GB2312" w:cs="仿宋_GB2312"/>
          <w:sz w:val="32"/>
          <w:szCs w:val="32"/>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FD7ECA"/>
    <w:multiLevelType w:val="singleLevel"/>
    <w:tmpl w:val="31FD7ECA"/>
    <w:lvl w:ilvl="0" w:tentative="0">
      <w:start w:val="1"/>
      <w:numFmt w:val="chineseCounting"/>
      <w:suff w:val="nothing"/>
      <w:lvlText w:val="（%1）"/>
      <w:lvlJc w:val="left"/>
      <w:pPr>
        <w:ind w:left="640" w:firstLine="0"/>
      </w:pPr>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01FA1"/>
    <w:rsid w:val="00030BCD"/>
    <w:rsid w:val="00051E03"/>
    <w:rsid w:val="000D75E7"/>
    <w:rsid w:val="00136FB8"/>
    <w:rsid w:val="00165956"/>
    <w:rsid w:val="001D20EF"/>
    <w:rsid w:val="001E5E9E"/>
    <w:rsid w:val="00251369"/>
    <w:rsid w:val="002913A1"/>
    <w:rsid w:val="002B3D30"/>
    <w:rsid w:val="00323B43"/>
    <w:rsid w:val="00337C72"/>
    <w:rsid w:val="00353DB7"/>
    <w:rsid w:val="003D37D8"/>
    <w:rsid w:val="003E23BB"/>
    <w:rsid w:val="003E6098"/>
    <w:rsid w:val="003F05B0"/>
    <w:rsid w:val="003F40EF"/>
    <w:rsid w:val="004178B0"/>
    <w:rsid w:val="00426133"/>
    <w:rsid w:val="004358AB"/>
    <w:rsid w:val="00483AE0"/>
    <w:rsid w:val="004B61E8"/>
    <w:rsid w:val="004D57CC"/>
    <w:rsid w:val="0061126C"/>
    <w:rsid w:val="00663692"/>
    <w:rsid w:val="00666CDC"/>
    <w:rsid w:val="006C215C"/>
    <w:rsid w:val="007020F8"/>
    <w:rsid w:val="007117C6"/>
    <w:rsid w:val="007373EC"/>
    <w:rsid w:val="007671C5"/>
    <w:rsid w:val="0077247A"/>
    <w:rsid w:val="007A26DE"/>
    <w:rsid w:val="00877660"/>
    <w:rsid w:val="008B3AE6"/>
    <w:rsid w:val="008B7726"/>
    <w:rsid w:val="008B7AC5"/>
    <w:rsid w:val="008C68D7"/>
    <w:rsid w:val="00901FF8"/>
    <w:rsid w:val="0094796D"/>
    <w:rsid w:val="00947FC7"/>
    <w:rsid w:val="009D45AE"/>
    <w:rsid w:val="00A120EA"/>
    <w:rsid w:val="00AA23EF"/>
    <w:rsid w:val="00AF7D55"/>
    <w:rsid w:val="00B07D7F"/>
    <w:rsid w:val="00B27D68"/>
    <w:rsid w:val="00B3763C"/>
    <w:rsid w:val="00B7684A"/>
    <w:rsid w:val="00BE204F"/>
    <w:rsid w:val="00BE72EF"/>
    <w:rsid w:val="00C047D3"/>
    <w:rsid w:val="00C3641A"/>
    <w:rsid w:val="00C50EEC"/>
    <w:rsid w:val="00C669FA"/>
    <w:rsid w:val="00C86B9F"/>
    <w:rsid w:val="00C97581"/>
    <w:rsid w:val="00D1494A"/>
    <w:rsid w:val="00D31D50"/>
    <w:rsid w:val="00D767A0"/>
    <w:rsid w:val="00E81568"/>
    <w:rsid w:val="00F344A9"/>
    <w:rsid w:val="00F7246A"/>
    <w:rsid w:val="00F76553"/>
    <w:rsid w:val="00FC741E"/>
    <w:rsid w:val="00FD288F"/>
    <w:rsid w:val="4AB71AC8"/>
    <w:rsid w:val="9CFB2D7D"/>
    <w:rsid w:val="9FB5BA42"/>
    <w:rsid w:val="E2E7A916"/>
    <w:rsid w:val="EE5780A4"/>
    <w:rsid w:val="FCFF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val="0"/>
      <w:adjustRightInd/>
      <w:snapToGrid/>
      <w:spacing w:after="120"/>
      <w:ind w:left="420" w:leftChars="200"/>
      <w:jc w:val="both"/>
    </w:pPr>
    <w:rPr>
      <w:rFonts w:ascii="Times New Roman" w:hAnsi="Times New Roman" w:eastAsia="宋体" w:cs="Times New Roman"/>
      <w:kern w:val="2"/>
      <w:sz w:val="21"/>
      <w:szCs w:val="24"/>
    </w:rPr>
  </w:style>
  <w:style w:type="paragraph" w:customStyle="1" w:styleId="6">
    <w:name w:val="列出段落1"/>
    <w:basedOn w:val="1"/>
    <w:qFormat/>
    <w:uiPriority w:val="34"/>
    <w:pPr>
      <w:widowControl w:val="0"/>
      <w:adjustRightInd/>
      <w:snapToGrid/>
      <w:spacing w:after="0"/>
      <w:ind w:firstLine="420" w:firstLineChars="200"/>
      <w:jc w:val="both"/>
    </w:pPr>
    <w:rPr>
      <w:rFonts w:ascii="Calibri" w:hAnsi="Calibri" w:eastAsia="宋体" w:cs="黑体"/>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605</Words>
  <Characters>3449</Characters>
  <Lines>28</Lines>
  <Paragraphs>8</Paragraphs>
  <TotalTime>1</TotalTime>
  <ScaleCrop>false</ScaleCrop>
  <LinksUpToDate>false</LinksUpToDate>
  <CharactersWithSpaces>4046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lenovo</cp:lastModifiedBy>
  <dcterms:modified xsi:type="dcterms:W3CDTF">2023-07-19T09:36:26Z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