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rPr>
          <w:bdr w:val="none" w:color="auto" w:sz="0" w:space="0"/>
          <w:shd w:val="clear" w:fill="FFFFFF"/>
        </w:rPr>
      </w:pPr>
      <w:r>
        <w:rPr>
          <w:bdr w:val="none" w:color="auto" w:sz="0" w:space="0"/>
          <w:shd w:val="clear" w:fill="FFFFFF"/>
        </w:rPr>
        <w:t>《海南省支持企业扩投资稳增长暂行办法》政策解读</w:t>
      </w:r>
    </w:p>
    <w:p>
      <w:pPr>
        <w:pStyle w:val="2"/>
        <w:keepNext w:val="0"/>
        <w:keepLines w:val="0"/>
        <w:widowControl/>
        <w:suppressLineNumbers w:val="0"/>
        <w:spacing w:before="0" w:beforeAutospacing="0" w:after="0" w:afterAutospacing="0"/>
        <w:ind w:left="0" w:right="0"/>
      </w:pPr>
      <w:bookmarkStart w:id="0" w:name="_GoBack"/>
      <w:bookmarkEnd w:id="0"/>
      <w:r>
        <w:rPr>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为支持企业通过“扩投资、上项目”做大做强，夯实海南产业基础。2021年5月21日，经省政府同意，省发展改革委和省财政厅联合印发《海南省支持企业扩投资稳增长暂行办法》（以下简称《办法》），自印发之日起30天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办法》阐明了产业扶持导向，坚持效益优先，进一步规范重点产业扶持工作。本《办法》基本框架共有七个部分，分别是总则、职责分工、支持对象与方式、申报管理、验收和资金拨付、监督管理、附则。主要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ascii="微软雅黑" w:hAnsi="微软雅黑" w:eastAsia="微软雅黑" w:cs="微软雅黑"/>
          <w:b/>
          <w:bCs/>
          <w:i w:val="0"/>
          <w:iCs w:val="0"/>
          <w:caps w:val="0"/>
          <w:color w:val="4C5157"/>
          <w:spacing w:val="0"/>
          <w:sz w:val="24"/>
          <w:szCs w:val="24"/>
          <w:u w:val="none"/>
          <w:bdr w:val="none" w:color="auto" w:sz="0" w:space="0"/>
          <w:shd w:val="clear" w:fill="FFFFFF"/>
        </w:rPr>
        <w:t>一、明确制定目的、依据和支持范围。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一是本办法主要依据《海南省重点产业专项资金管理办法》，并参照《中央预算内投资补助和贴息项目管理办法》起草。二是支持方向为“三大主导产业”“十个重点领域”，热带特色高效农业，以及符合海南省鼓励类产业目录的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二、明确各相关部门职责。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省发展改革委统筹此项工作，负责编制、发布申报通知，组织对申报项目进行审核、评审、验收评价等;组织编制具体产业方向以及办理职能范围内的其他工作事项。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省级行业主管部门负责本行业企业和项目的储备和推荐，与企业“一对一”协商承诺目标和支持措施条款，经省政府同意后与扶持企业签订“对赌”协议，对项目实施过程进行跟踪监督，参与验收评定工作。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省直相关职能部门负责共同审核申报企业是否存在违法违规行为，并对相关数据指标进行解释说明。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市县政府落实属地责任，在项目申报期间核实前期工作落实情况，项目列入扶持计划后会同省级行业主管部门推动项目落实。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三、明确支持对象与方式。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一是明确申报基本条件。申报单位具备独立法人资格，守法守信运营、经营管理状况良好。申报项目符合我省重点发展的产业方向，且必须在海南省内实施。项目必须已按规定完成备案，主要建设条件基本落实，在“对赌”年度内实际新增建设投资或研发投入达到2000万元以上（个别如会展等轻资产行业项目、研发投入等标准可适当降低）。此外，对被依法列入失信联合惩戒对象的企业，以及申报年度内已获得同类省级财政专项资金扶持的项目等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二是明确支持方式。扶持方式为事后补助，须在企业实现承诺目标后再落实兑现。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三是明确支持措施和标准。对申报企业给予项目投资奖励（含固定资产投资和研发）、贷款贴息等中的一项或多项扶持，项目投资奖励不超过年度实际完成投资的5%、对年度完成投资使用银行贷款的部分可按市场报价利率50%给予贴息。单家企业年度综合扶持力度一般不超过1500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对年度完成投资10亿元以上重大项目、就业带动大等经济社会效益较好的企业和填补产业空白的项目，可在当年度最高奖励金额的基础上适当上浮。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四、明确申报、验收和监督管理程序。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申报环节主要为申报和推荐、初审、召开评审会、上报省政府等，同时明确申请需提交的资料。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验收环节原则上“对赌”期限结束后3-4个月内完成验收认定工作。验收通过的，省发展改革委统一向省政府申请拨付扶持资金，省财政将奖补资金拨付给企业。验收意见为不通过的，不予兑现支持措施。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监督环节。一是加强项目监督管理。对项目实施绩效监控，定期开展项目调度和评估。企业必须定期报送项目建设进展、完成投资情况。省级行业主管部门应会同属地政府推进项目建设,不定期开展实地督查并做好记录。二是在省政府同意后，企业拒绝签订“对赌”协议的，下一年度起2年内不再受理其产业扶持申报资料；签订协议后目标完成率低于70%的，下一年度不再受理其产业扶持申报资料。三是企业在项目申报和实施过程中存在弄虚作假等失信行为的，终止“对赌”协议，并按照相关规定进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五、对本办法涉及的重要指标如项目投资、营业收入、产值、研发投入等进行明确。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ODZlNWQ1MzUzNTVhNzA1MzYzNmMxMjgyMjNiMzEifQ=="/>
  </w:docVars>
  <w:rsids>
    <w:rsidRoot w:val="00000000"/>
    <w:rsid w:val="7AAD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data"/>
    <w:basedOn w:val="5"/>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2022-12-05T09:32:15Z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06050BD1D8C44A41AFE604DA34F35597</vt:lpwstr>
  </property>
</Properties>
</file>