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color w:val="4C5157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C5157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《海南省“十四五”现代流通体系建设实施方案》解读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both"/>
        <w:rPr>
          <w:rFonts w:ascii="Calibri" w:hAnsi="Calibri" w:cs="Calibri"/>
          <w:color w:val="4C5157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</w:rPr>
        <w:t>2022年6月16日，海南省发展改革委出台《关于印发＜海南省“十四五”现代流通体系建设实施方案＞的通知》（琼发改经贸﹝2022﹞503号，以下简称《实施方案》），《实施方案》是以习近平新时代中国特色社会主义思想为指导，统筹推进现代流通体系硬件和软件建设，培育壮大现代流通企业，提升现代流通治理水平，全面形成现代流通发展新优势，提高流通效率，降低流通成本，为构建以国内大循环为主体、国内国际双循环相互促进的新发展格局提供有力支撑的重要文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both"/>
        <w:rPr>
          <w:rFonts w:hint="default" w:ascii="Calibri" w:hAnsi="Calibri" w:cs="Calibri"/>
          <w:color w:val="4C5157"/>
          <w:sz w:val="21"/>
          <w:szCs w:val="21"/>
          <w:u w:val="none"/>
        </w:rPr>
      </w:pPr>
      <w:r>
        <w:rPr>
          <w:rStyle w:val="7"/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</w:rPr>
        <w:t>一、出台背景与过程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both"/>
        <w:rPr>
          <w:rFonts w:hint="default" w:ascii="Calibri" w:hAnsi="Calibri" w:cs="Calibri"/>
          <w:color w:val="4C5157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</w:rPr>
        <w:t>2022年1月13日，国家发展改革委出台《关于印发＜“十四五”现代流通体系建设规划＞的通知》（发改经贸﹝2022﹞78号，以下简称《规划》），要求各人民政府把现代流通体系建设作为本地“十四五”时期经济和社会发展的重要任务，编制建设方案，细化落实措施，确保将《规划》明确的重要目标任务落实到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jc w:val="both"/>
        <w:rPr>
          <w:rFonts w:hint="default" w:ascii="Calibri" w:hAnsi="Calibri" w:cs="Calibri"/>
          <w:color w:val="4C5157"/>
          <w:sz w:val="21"/>
          <w:szCs w:val="21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</w:rPr>
        <w:t>为全面贯彻落实《规划》精神，根据海南省政府要求，省发展改革委会同省商务厅、省交通运输厅、省金融局等相关单位编制了《海南省“十四五”现代流通体系建设实施方案》，经海南省政府同意并印发。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仿宋" w:hAnsi="仿宋" w:eastAsia="仿宋" w:cs="仿宋"/>
          <w:color w:val="4C5157"/>
          <w:sz w:val="31"/>
          <w:szCs w:val="31"/>
          <w:u w:val="none"/>
        </w:rPr>
      </w:pPr>
      <w:r>
        <w:rPr>
          <w:rStyle w:val="7"/>
          <w:rFonts w:hint="eastAsia" w:ascii="宋体" w:hAnsi="宋体" w:eastAsia="宋体" w:cs="宋体"/>
          <w:b/>
          <w:color w:val="4C5157"/>
          <w:sz w:val="24"/>
          <w:szCs w:val="24"/>
          <w:u w:val="none"/>
          <w:bdr w:val="none" w:color="auto" w:sz="0" w:space="0"/>
          <w:shd w:val="clear" w:fill="FFFFFF"/>
        </w:rPr>
        <w:t>二、主要内容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Calibri Light" w:hAnsi="Calibri Light" w:eastAsia="Calibri Light" w:cs="Calibri Light"/>
          <w:color w:val="4C5157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C5157"/>
          <w:sz w:val="24"/>
          <w:szCs w:val="24"/>
          <w:u w:val="none"/>
          <w:bdr w:val="none" w:color="auto" w:sz="0" w:space="0"/>
          <w:shd w:val="clear" w:fill="FFFFFF"/>
        </w:rPr>
        <w:t>《实施方案》共分三大部分，主要包括主要目标、四十四项工作任务和三项保障措施。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 Light" w:hAnsi="Calibri Light" w:eastAsia="Calibri Light" w:cs="Calibri Light"/>
          <w:color w:val="4C5157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C5157"/>
          <w:sz w:val="24"/>
          <w:szCs w:val="24"/>
          <w:u w:val="none"/>
          <w:bdr w:val="none" w:color="auto" w:sz="0" w:space="0"/>
          <w:shd w:val="clear" w:fill="FFFFFF"/>
        </w:rPr>
        <w:t>（一）主要目标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到2025年，全省现代物流业总额稳定增长，全省现代物流业增加值达353亿元，物流业总收入达1300亿元，全省社会物流总费用与GDP的比率降低至13.2%；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社会消费品零售总额3340亿元，年均增长10.5%，网络零售额年均增长25%。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全省流通基础设施布局进一步完善，流通领域新业态新模式发展壮大，服务海南自贸港、联通国际的能力和水平进一步提高。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到2035年，全省物流业总收入达3200亿元，全省社会物流总费用与GDP的比率降低至10%左右。现代流通体系全面建成，推动我省更好的融入全球统一大市场。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 Light" w:hAnsi="Calibri Light" w:eastAsia="Calibri Light" w:cs="Calibri Light"/>
          <w:color w:val="4C5157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C5157"/>
          <w:sz w:val="24"/>
          <w:szCs w:val="24"/>
          <w:u w:val="none"/>
          <w:bdr w:val="none" w:color="auto" w:sz="0" w:space="0"/>
          <w:shd w:val="clear" w:fill="FFFFFF"/>
        </w:rPr>
        <w:t>（二）主要任务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总共提出六方面44项任务。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第一部分“深化现代流通市场化改革”。包括加快现代流通重点领域市场化进程、提高重要资源市场化配置能力健全一体衔接的规则和标准、优化流通领域商事服务、加强反垄断和反不正当竞争执法等五项任务。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二部分“完善现代商贸流通体系”。包括完善商品交易市场网络、完善农产品现代流通网络、完善城乡多层次商贸网络、支持电子商务创新规范发展、推进实体商业转型融合发展、发掘商贸流通大数据应用价值、支持骨干商贸流通企业做大做强、鼓励区域特色商贸企业做优做精、推动中小微商贸企业转型升级、推动内外市场衔接联通、扩展出口产品内销渠道、发展外贸新业态等十二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第三部分“加快发展现代物流体系”。包括建设物流枢纽网络、完善区域物流服务网络、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健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全冷链物流设施体系、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加快发展多种形式铁路快运、推进物流与相关产业融合创新发展、提升物流企业专业化服务水平、加强国际航空物流能力建设、提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升国际海运服务水平、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强口岸物流服务能力、加强应急物流管理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提高应急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保障能力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等十一项任务。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第四部分“增强交通运输流通承载能力”。包括强化骨干运输通道能力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优化区域交通网络</w:t>
      </w:r>
      <w:r>
        <w:rPr>
          <w:rFonts w:hint="eastAsia" w:ascii="宋体" w:hAnsi="宋体" w:eastAsia="宋体" w:cs="宋体"/>
          <w:color w:val="4C5157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、</w:t>
      </w: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完善城乡融合交通网络、大力发展多式联运、加快交通基础设施智能化升级、大力推动交通运输绿色低碳转型等六项任务。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五部分“加强现代金融服务流通功能”。包括提升国内支付保障能力、推动跨境支付结算便利化、丰富完善流通领域金融服务、加强供应链金融基础设施建设、健全供应链金融运行机制、丰富供应链金融产品等六项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第六部分“推进流通领域信用体系建设”。包括加强追溯系统建设、推广信用承诺和告知承诺制、推进信用分级分类监管、完善信用奖惩机制等四项任务。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Calibri Light" w:hAnsi="Calibri Light" w:eastAsia="Calibri Light" w:cs="Calibri Light"/>
          <w:color w:val="4C5157"/>
          <w:sz w:val="31"/>
          <w:szCs w:val="31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4C5157"/>
          <w:sz w:val="24"/>
          <w:szCs w:val="24"/>
          <w:u w:val="none"/>
          <w:bdr w:val="none" w:color="auto" w:sz="0" w:space="0"/>
          <w:shd w:val="clear" w:fill="FFFFFF"/>
        </w:rPr>
        <w:t>（三）保障措施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textAlignment w:val="baseline"/>
        <w:rPr>
          <w:rFonts w:hint="default" w:ascii="Calibri" w:hAnsi="Calibri" w:cs="Calibri"/>
          <w:color w:val="4C5157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4C5157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包括加强党的全面领导、完善现代流通支持政策、加快流通专业人才培养、强化组织实施等。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GUzNThmYjYzY2ViNmQzYTdlN2MzMTdlNDNkZDkifQ=="/>
  </w:docVars>
  <w:rsids>
    <w:rsidRoot w:val="00000000"/>
    <w:rsid w:val="32EF283F"/>
    <w:rsid w:val="52B7559E"/>
    <w:rsid w:val="73B1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日月当空</cp:lastModifiedBy>
  <cp:lastPrinted>2022-10-14T07:29:00Z</cp:lastPrinted>
  <dcterms:modified xsi:type="dcterms:W3CDTF">2022-10-14T07:46:38Z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9C2E1770594A4A69A3C818FC3151F0E0</vt:lpwstr>
  </property>
</Properties>
</file>